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613"/>
        <w:tblOverlap w:val="never"/>
        <w:tblW w:w="8891" w:type="dxa"/>
        <w:tblLook w:val="04A0" w:firstRow="1" w:lastRow="0" w:firstColumn="1" w:lastColumn="0" w:noHBand="0" w:noVBand="1"/>
      </w:tblPr>
      <w:tblGrid>
        <w:gridCol w:w="6306"/>
        <w:gridCol w:w="2585"/>
      </w:tblGrid>
      <w:tr w:rsidR="002A5BA3" w14:paraId="00BB17D7" w14:textId="77777777" w:rsidTr="005F7808">
        <w:trPr>
          <w:cantSplit/>
          <w:trHeight w:val="270"/>
        </w:trPr>
        <w:tc>
          <w:tcPr>
            <w:tcW w:w="6306" w:type="dxa"/>
            <w:shd w:val="clear" w:color="auto" w:fill="auto"/>
          </w:tcPr>
          <w:p w14:paraId="03831579" w14:textId="77777777" w:rsidR="002A5BA3" w:rsidRPr="005A5FF0" w:rsidRDefault="002A5BA3" w:rsidP="005F7808">
            <w:pPr>
              <w:pStyle w:val="ZhlavGM"/>
              <w:spacing w:line="276" w:lineRule="auto"/>
            </w:pPr>
            <w:r w:rsidRPr="005A5FF0">
              <w:t>HLAVNÍ MĚSTO PRAHA</w:t>
            </w:r>
          </w:p>
          <w:p w14:paraId="56DB7994" w14:textId="77777777" w:rsidR="002A5BA3" w:rsidRDefault="002A5BA3" w:rsidP="005F7808">
            <w:pPr>
              <w:pStyle w:val="ZhlavGM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MAGISTRÁT HLAVNÍHO MĚSTA PRAHY</w:t>
            </w:r>
          </w:p>
          <w:p w14:paraId="3CD40C91" w14:textId="39F6451F" w:rsidR="002A5BA3" w:rsidRDefault="002A5BA3" w:rsidP="005F7808">
            <w:pPr>
              <w:pStyle w:val="ZhlavGM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 xml:space="preserve">Komise Rady </w:t>
            </w:r>
            <w:r w:rsidR="007646C4">
              <w:rPr>
                <w:spacing w:val="2"/>
              </w:rPr>
              <w:t>HMP</w:t>
            </w:r>
            <w:r>
              <w:rPr>
                <w:spacing w:val="2"/>
              </w:rPr>
              <w:t xml:space="preserve"> pro udělování </w:t>
            </w:r>
            <w:r w:rsidR="007646C4">
              <w:rPr>
                <w:spacing w:val="2"/>
              </w:rPr>
              <w:t>dotací hl. m. Prahy</w:t>
            </w:r>
            <w:r>
              <w:rPr>
                <w:spacing w:val="2"/>
              </w:rPr>
              <w:t xml:space="preserve"> </w:t>
            </w:r>
          </w:p>
          <w:p w14:paraId="2DF2DC6F" w14:textId="77777777" w:rsidR="002A5BA3" w:rsidRDefault="002A5BA3" w:rsidP="005F7808">
            <w:pPr>
              <w:pStyle w:val="ZhlavGM"/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v oblasti kultury a umění</w:t>
            </w:r>
          </w:p>
          <w:p w14:paraId="58FF6C48" w14:textId="77777777" w:rsidR="002A5BA3" w:rsidRPr="005A5FF0" w:rsidRDefault="002A5BA3" w:rsidP="005F7808">
            <w:pPr>
              <w:pStyle w:val="ZhlavGM"/>
              <w:spacing w:line="276" w:lineRule="auto"/>
            </w:pPr>
          </w:p>
        </w:tc>
        <w:tc>
          <w:tcPr>
            <w:tcW w:w="2585" w:type="dxa"/>
            <w:shd w:val="clear" w:color="auto" w:fill="auto"/>
          </w:tcPr>
          <w:p w14:paraId="59E9FDD1" w14:textId="77777777" w:rsidR="002A5BA3" w:rsidRPr="00535EF4" w:rsidRDefault="002A5BA3" w:rsidP="005F7808">
            <w:pPr>
              <w:pStyle w:val="PID2"/>
              <w:framePr w:hSpace="0" w:wrap="auto" w:vAnchor="margin" w:hAnchor="text" w:xAlign="left" w:yAlign="inline"/>
              <w:spacing w:line="276" w:lineRule="auto"/>
              <w:suppressOverlap w:val="0"/>
              <w:rPr>
                <w:rFonts w:cs="Times New Roman"/>
                <w:szCs w:val="22"/>
              </w:rPr>
            </w:pPr>
          </w:p>
        </w:tc>
      </w:tr>
    </w:tbl>
    <w:p w14:paraId="248E4F93" w14:textId="77777777" w:rsidR="002A5BA3" w:rsidRDefault="002A5BA3" w:rsidP="002A5BA3">
      <w:pPr>
        <w:pStyle w:val="Zkladntext"/>
        <w:spacing w:line="276" w:lineRule="auto"/>
        <w:jc w:val="center"/>
        <w:rPr>
          <w:bCs w:val="0"/>
        </w:rPr>
      </w:pPr>
    </w:p>
    <w:p w14:paraId="028F8449" w14:textId="700DA293" w:rsidR="002A5BA3" w:rsidRDefault="002A5BA3" w:rsidP="002A5BA3">
      <w:pPr>
        <w:pStyle w:val="Zkladntext"/>
        <w:spacing w:line="276" w:lineRule="auto"/>
        <w:jc w:val="center"/>
        <w:rPr>
          <w:bCs w:val="0"/>
        </w:rPr>
      </w:pPr>
      <w:r>
        <w:rPr>
          <w:bCs w:val="0"/>
        </w:rPr>
        <w:t>Zápis z prvního </w:t>
      </w:r>
      <w:r w:rsidRPr="007C13F3">
        <w:rPr>
          <w:bCs w:val="0"/>
        </w:rPr>
        <w:t xml:space="preserve">jednání Komise Rady </w:t>
      </w:r>
      <w:r w:rsidR="007646C4">
        <w:rPr>
          <w:bCs w:val="0"/>
        </w:rPr>
        <w:t>HMP</w:t>
      </w:r>
      <w:r>
        <w:rPr>
          <w:bCs w:val="0"/>
        </w:rPr>
        <w:t xml:space="preserve"> </w:t>
      </w:r>
    </w:p>
    <w:p w14:paraId="56D2A73E" w14:textId="6CBEBA38" w:rsidR="002A5BA3" w:rsidRPr="007C13F3" w:rsidRDefault="002A5BA3" w:rsidP="002A5BA3">
      <w:pPr>
        <w:pStyle w:val="Zkladntext"/>
        <w:spacing w:line="276" w:lineRule="auto"/>
        <w:jc w:val="center"/>
        <w:rPr>
          <w:bCs w:val="0"/>
        </w:rPr>
      </w:pPr>
      <w:r>
        <w:rPr>
          <w:bCs w:val="0"/>
        </w:rPr>
        <w:t xml:space="preserve">pro udělování dotací </w:t>
      </w:r>
      <w:r w:rsidR="00841334">
        <w:rPr>
          <w:bCs w:val="0"/>
        </w:rPr>
        <w:t xml:space="preserve">hl. m. Prahy </w:t>
      </w:r>
      <w:r w:rsidRPr="007C13F3">
        <w:rPr>
          <w:bCs w:val="0"/>
        </w:rPr>
        <w:t>v oblasti kultury a umění</w:t>
      </w:r>
    </w:p>
    <w:p w14:paraId="6A66D8FE" w14:textId="77777777" w:rsidR="002A5BA3" w:rsidRPr="007C13F3" w:rsidRDefault="002A5BA3" w:rsidP="002A5BA3">
      <w:pPr>
        <w:pStyle w:val="Zkladntext"/>
        <w:spacing w:line="276" w:lineRule="auto"/>
        <w:jc w:val="center"/>
        <w:rPr>
          <w:b w:val="0"/>
          <w:bCs w:val="0"/>
          <w:sz w:val="22"/>
          <w:szCs w:val="22"/>
        </w:rPr>
      </w:pP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85"/>
        <w:gridCol w:w="1848"/>
        <w:gridCol w:w="545"/>
        <w:gridCol w:w="1830"/>
        <w:gridCol w:w="1253"/>
      </w:tblGrid>
      <w:tr w:rsidR="002A5BA3" w:rsidRPr="004527C5" w14:paraId="70F2F9F5" w14:textId="77777777" w:rsidTr="00841334">
        <w:tc>
          <w:tcPr>
            <w:tcW w:w="1843" w:type="dxa"/>
          </w:tcPr>
          <w:p w14:paraId="069F6ACF" w14:textId="77777777" w:rsidR="002A5BA3" w:rsidRPr="00841334" w:rsidRDefault="002A5BA3" w:rsidP="005F7808">
            <w:pPr>
              <w:pStyle w:val="Zkladntext"/>
              <w:spacing w:line="276" w:lineRule="auto"/>
              <w:rPr>
                <w:b w:val="0"/>
                <w:sz w:val="22"/>
                <w:szCs w:val="22"/>
              </w:rPr>
            </w:pPr>
            <w:r w:rsidRPr="00841334">
              <w:rPr>
                <w:b w:val="0"/>
                <w:sz w:val="22"/>
                <w:szCs w:val="22"/>
              </w:rPr>
              <w:t>Komise:</w:t>
            </w:r>
          </w:p>
        </w:tc>
        <w:tc>
          <w:tcPr>
            <w:tcW w:w="6661" w:type="dxa"/>
            <w:gridSpan w:val="5"/>
          </w:tcPr>
          <w:p w14:paraId="2CD13535" w14:textId="07412002" w:rsidR="002A5BA3" w:rsidRPr="00841334" w:rsidRDefault="002A5BA3" w:rsidP="005F7808">
            <w:pPr>
              <w:pStyle w:val="Odstavec1bNoEnterB"/>
              <w:tabs>
                <w:tab w:val="clear" w:pos="720"/>
              </w:tabs>
              <w:spacing w:before="0" w:after="0" w:line="276" w:lineRule="auto"/>
              <w:ind w:left="0"/>
              <w:rPr>
                <w:rFonts w:ascii="Times New Roman" w:hAnsi="Times New Roman"/>
                <w:bCs/>
              </w:rPr>
            </w:pPr>
            <w:r w:rsidRPr="00841334">
              <w:rPr>
                <w:rFonts w:ascii="Times New Roman" w:hAnsi="Times New Roman"/>
                <w:bCs/>
              </w:rPr>
              <w:t xml:space="preserve">Komise Rady </w:t>
            </w:r>
            <w:r w:rsidR="007646C4">
              <w:rPr>
                <w:rFonts w:ascii="Times New Roman" w:hAnsi="Times New Roman"/>
                <w:bCs/>
              </w:rPr>
              <w:t>HMP</w:t>
            </w:r>
            <w:r w:rsidRPr="00841334">
              <w:rPr>
                <w:rFonts w:ascii="Times New Roman" w:hAnsi="Times New Roman"/>
                <w:bCs/>
              </w:rPr>
              <w:t xml:space="preserve"> pro udělování dotací </w:t>
            </w:r>
            <w:r w:rsidR="007646C4">
              <w:rPr>
                <w:rFonts w:ascii="Times New Roman" w:hAnsi="Times New Roman"/>
                <w:bCs/>
              </w:rPr>
              <w:t xml:space="preserve">hl. m. Prahy </w:t>
            </w:r>
            <w:r w:rsidRPr="00841334">
              <w:rPr>
                <w:rFonts w:ascii="Times New Roman" w:hAnsi="Times New Roman"/>
                <w:bCs/>
              </w:rPr>
              <w:t>v oblasti kultury a umění (dále jen DK)</w:t>
            </w:r>
          </w:p>
        </w:tc>
      </w:tr>
      <w:tr w:rsidR="002A5BA3" w:rsidRPr="004527C5" w14:paraId="660366FF" w14:textId="77777777" w:rsidTr="00841334">
        <w:tc>
          <w:tcPr>
            <w:tcW w:w="1843" w:type="dxa"/>
          </w:tcPr>
          <w:p w14:paraId="346C25B0" w14:textId="77777777" w:rsidR="002A5BA3" w:rsidRPr="00841334" w:rsidRDefault="002A5BA3" w:rsidP="005F7808">
            <w:pPr>
              <w:pStyle w:val="Zkladntext"/>
              <w:spacing w:line="276" w:lineRule="auto"/>
              <w:rPr>
                <w:b w:val="0"/>
                <w:sz w:val="22"/>
                <w:szCs w:val="22"/>
              </w:rPr>
            </w:pPr>
            <w:r w:rsidRPr="00841334">
              <w:rPr>
                <w:b w:val="0"/>
                <w:sz w:val="22"/>
                <w:szCs w:val="22"/>
              </w:rPr>
              <w:t>Téma:</w:t>
            </w:r>
          </w:p>
        </w:tc>
        <w:tc>
          <w:tcPr>
            <w:tcW w:w="6661" w:type="dxa"/>
            <w:gridSpan w:val="5"/>
          </w:tcPr>
          <w:p w14:paraId="33EEAA2E" w14:textId="3733EEB6" w:rsidR="002A5BA3" w:rsidRPr="00841334" w:rsidRDefault="002A5BA3" w:rsidP="005F7808">
            <w:pPr>
              <w:pStyle w:val="Odstavec1bNoEnterB"/>
              <w:tabs>
                <w:tab w:val="clear" w:pos="720"/>
              </w:tabs>
              <w:spacing w:before="0" w:after="0" w:line="276" w:lineRule="auto"/>
              <w:ind w:left="0"/>
              <w:rPr>
                <w:rFonts w:ascii="Times New Roman" w:hAnsi="Times New Roman"/>
                <w:bCs/>
              </w:rPr>
            </w:pPr>
            <w:r w:rsidRPr="00841334">
              <w:rPr>
                <w:rFonts w:ascii="Times New Roman" w:hAnsi="Times New Roman"/>
                <w:bCs/>
              </w:rPr>
              <w:t>Program podpory v oblasti kultury a umění pro jednoleté dotace pro rok 202</w:t>
            </w:r>
            <w:r w:rsidR="00B52EF6">
              <w:rPr>
                <w:rFonts w:ascii="Times New Roman" w:hAnsi="Times New Roman"/>
                <w:bCs/>
              </w:rPr>
              <w:t>5</w:t>
            </w:r>
            <w:r w:rsidRPr="00841334">
              <w:rPr>
                <w:rFonts w:ascii="Times New Roman" w:hAnsi="Times New Roman"/>
                <w:bCs/>
              </w:rPr>
              <w:t xml:space="preserve"> a pro víceleté dotace na léta </w:t>
            </w:r>
            <w:proofErr w:type="gramStart"/>
            <w:r w:rsidRPr="00841334">
              <w:rPr>
                <w:rFonts w:ascii="Times New Roman" w:hAnsi="Times New Roman"/>
                <w:bCs/>
              </w:rPr>
              <w:t>202</w:t>
            </w:r>
            <w:r w:rsidR="00B52EF6">
              <w:rPr>
                <w:rFonts w:ascii="Times New Roman" w:hAnsi="Times New Roman"/>
                <w:bCs/>
              </w:rPr>
              <w:t>6</w:t>
            </w:r>
            <w:r w:rsidRPr="00841334">
              <w:rPr>
                <w:rFonts w:ascii="Times New Roman" w:hAnsi="Times New Roman"/>
                <w:bCs/>
              </w:rPr>
              <w:t xml:space="preserve"> – 202</w:t>
            </w:r>
            <w:r w:rsidR="00B52EF6">
              <w:rPr>
                <w:rFonts w:ascii="Times New Roman" w:hAnsi="Times New Roman"/>
                <w:bCs/>
              </w:rPr>
              <w:t>9</w:t>
            </w:r>
            <w:proofErr w:type="gramEnd"/>
            <w:r w:rsidRPr="00841334">
              <w:rPr>
                <w:rFonts w:ascii="Times New Roman" w:hAnsi="Times New Roman"/>
                <w:bCs/>
              </w:rPr>
              <w:t xml:space="preserve"> (dále jen PP KUC)</w:t>
            </w:r>
          </w:p>
        </w:tc>
      </w:tr>
      <w:tr w:rsidR="002A5BA3" w:rsidRPr="004527C5" w14:paraId="0DCA1BFD" w14:textId="77777777" w:rsidTr="00841334">
        <w:tc>
          <w:tcPr>
            <w:tcW w:w="1843" w:type="dxa"/>
          </w:tcPr>
          <w:p w14:paraId="2B933EFF" w14:textId="77777777" w:rsidR="002A5BA3" w:rsidRPr="00841334" w:rsidRDefault="002A5BA3" w:rsidP="005F7808">
            <w:pPr>
              <w:pStyle w:val="Zkladntext"/>
              <w:spacing w:line="276" w:lineRule="auto"/>
              <w:rPr>
                <w:b w:val="0"/>
                <w:sz w:val="22"/>
                <w:szCs w:val="22"/>
              </w:rPr>
            </w:pPr>
            <w:r w:rsidRPr="00841334">
              <w:rPr>
                <w:b w:val="0"/>
                <w:sz w:val="22"/>
                <w:szCs w:val="22"/>
              </w:rPr>
              <w:t xml:space="preserve">Termín a místo jednání: </w:t>
            </w:r>
          </w:p>
        </w:tc>
        <w:tc>
          <w:tcPr>
            <w:tcW w:w="6661" w:type="dxa"/>
            <w:gridSpan w:val="5"/>
          </w:tcPr>
          <w:p w14:paraId="3C3D1136" w14:textId="379F66F4" w:rsidR="002A5BA3" w:rsidRPr="00841334" w:rsidRDefault="00B52EF6" w:rsidP="005F7808">
            <w:pPr>
              <w:pStyle w:val="Odstavec1bNoEnterB"/>
              <w:tabs>
                <w:tab w:val="clear" w:pos="720"/>
              </w:tabs>
              <w:spacing w:before="0" w:after="0" w:line="276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4D4023" w:rsidRPr="00841334">
              <w:rPr>
                <w:rFonts w:ascii="Times New Roman" w:hAnsi="Times New Roman"/>
                <w:bCs/>
              </w:rPr>
              <w:t>7</w:t>
            </w:r>
            <w:r w:rsidR="002A5BA3" w:rsidRPr="00841334">
              <w:rPr>
                <w:rFonts w:ascii="Times New Roman" w:hAnsi="Times New Roman"/>
                <w:bCs/>
              </w:rPr>
              <w:t>. 6. 202</w:t>
            </w:r>
            <w:r>
              <w:rPr>
                <w:rFonts w:ascii="Times New Roman" w:hAnsi="Times New Roman"/>
                <w:bCs/>
              </w:rPr>
              <w:t>4</w:t>
            </w:r>
            <w:r w:rsidR="002A5BA3" w:rsidRPr="00841334">
              <w:rPr>
                <w:rFonts w:ascii="Times New Roman" w:hAnsi="Times New Roman"/>
                <w:bCs/>
              </w:rPr>
              <w:t xml:space="preserve"> v </w:t>
            </w:r>
            <w:r w:rsidR="004D4023" w:rsidRPr="00841334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6</w:t>
            </w:r>
            <w:r w:rsidR="002A5BA3" w:rsidRPr="00841334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>3</w:t>
            </w:r>
            <w:r w:rsidR="002A5BA3" w:rsidRPr="00841334">
              <w:rPr>
                <w:rFonts w:ascii="Times New Roman" w:hAnsi="Times New Roman"/>
                <w:bCs/>
              </w:rPr>
              <w:t xml:space="preserve">0 hod. Zasedací místnost </w:t>
            </w:r>
            <w:r>
              <w:rPr>
                <w:rFonts w:ascii="Times New Roman" w:hAnsi="Times New Roman"/>
                <w:bCs/>
              </w:rPr>
              <w:t>sekce služeb</w:t>
            </w:r>
            <w:r w:rsidR="002A5BA3" w:rsidRPr="00841334">
              <w:rPr>
                <w:rFonts w:ascii="Times New Roman" w:hAnsi="Times New Roman"/>
                <w:bCs/>
              </w:rPr>
              <w:t xml:space="preserve">, </w:t>
            </w:r>
            <w:r w:rsidR="004D4023" w:rsidRPr="00841334">
              <w:rPr>
                <w:rFonts w:ascii="Times New Roman" w:hAnsi="Times New Roman"/>
                <w:bCs/>
              </w:rPr>
              <w:t>Palác Adria, Jungmannova 35/31</w:t>
            </w:r>
            <w:r w:rsidR="002A5BA3" w:rsidRPr="00841334">
              <w:rPr>
                <w:rFonts w:ascii="Times New Roman" w:hAnsi="Times New Roman"/>
                <w:bCs/>
              </w:rPr>
              <w:t>, Praha 1</w:t>
            </w:r>
          </w:p>
        </w:tc>
      </w:tr>
      <w:tr w:rsidR="002A5BA3" w:rsidRPr="004527C5" w14:paraId="0AA860CA" w14:textId="77777777" w:rsidTr="00841334">
        <w:tc>
          <w:tcPr>
            <w:tcW w:w="1843" w:type="dxa"/>
          </w:tcPr>
          <w:p w14:paraId="1DA06472" w14:textId="34D187A0" w:rsidR="002A5BA3" w:rsidRPr="00841334" w:rsidRDefault="002A5BA3" w:rsidP="005F7808">
            <w:pPr>
              <w:pStyle w:val="Zkladntext"/>
              <w:spacing w:line="276" w:lineRule="auto"/>
              <w:rPr>
                <w:b w:val="0"/>
                <w:sz w:val="22"/>
                <w:szCs w:val="22"/>
              </w:rPr>
            </w:pPr>
            <w:r w:rsidRPr="00841334">
              <w:rPr>
                <w:b w:val="0"/>
                <w:sz w:val="22"/>
                <w:szCs w:val="22"/>
              </w:rPr>
              <w:t>Přítomni</w:t>
            </w:r>
            <w:r w:rsidR="00841334" w:rsidRPr="00841334">
              <w:rPr>
                <w:b w:val="0"/>
                <w:sz w:val="22"/>
                <w:szCs w:val="22"/>
              </w:rPr>
              <w:t>:</w:t>
            </w:r>
          </w:p>
          <w:p w14:paraId="2D3A3159" w14:textId="77777777" w:rsidR="002A5BA3" w:rsidRPr="00841334" w:rsidRDefault="002A5BA3" w:rsidP="005F7808">
            <w:pPr>
              <w:pStyle w:val="Zkladntext"/>
              <w:spacing w:line="276" w:lineRule="auto"/>
              <w:rPr>
                <w:b w:val="0"/>
                <w:sz w:val="22"/>
                <w:szCs w:val="22"/>
              </w:rPr>
            </w:pPr>
            <w:r w:rsidRPr="00841334">
              <w:rPr>
                <w:b w:val="0"/>
                <w:sz w:val="22"/>
                <w:szCs w:val="22"/>
              </w:rPr>
              <w:t>předseda:</w:t>
            </w:r>
          </w:p>
          <w:p w14:paraId="2C83E532" w14:textId="77777777" w:rsidR="002A5BA3" w:rsidRPr="00841334" w:rsidRDefault="002A5BA3" w:rsidP="005F7808">
            <w:pPr>
              <w:pStyle w:val="Zkladntext"/>
              <w:spacing w:line="276" w:lineRule="auto"/>
              <w:rPr>
                <w:b w:val="0"/>
                <w:sz w:val="22"/>
                <w:szCs w:val="22"/>
              </w:rPr>
            </w:pPr>
            <w:r w:rsidRPr="00841334">
              <w:rPr>
                <w:b w:val="0"/>
                <w:sz w:val="22"/>
                <w:szCs w:val="22"/>
              </w:rPr>
              <w:t>člen/členka:</w:t>
            </w:r>
          </w:p>
          <w:p w14:paraId="5AFC7C0A" w14:textId="77777777" w:rsidR="002A5BA3" w:rsidRPr="00841334" w:rsidRDefault="002A5BA3" w:rsidP="005F7808">
            <w:pPr>
              <w:pStyle w:val="Zkladntext"/>
              <w:spacing w:line="276" w:lineRule="auto"/>
              <w:rPr>
                <w:b w:val="0"/>
                <w:sz w:val="22"/>
                <w:szCs w:val="22"/>
              </w:rPr>
            </w:pPr>
          </w:p>
          <w:p w14:paraId="232F7369" w14:textId="77777777" w:rsidR="002A5BA3" w:rsidRPr="00841334" w:rsidRDefault="002A5BA3" w:rsidP="005F7808">
            <w:pPr>
              <w:pStyle w:val="Zkladntext"/>
              <w:spacing w:line="276" w:lineRule="auto"/>
              <w:rPr>
                <w:b w:val="0"/>
                <w:sz w:val="22"/>
                <w:szCs w:val="22"/>
              </w:rPr>
            </w:pPr>
          </w:p>
          <w:p w14:paraId="6E6B4C92" w14:textId="77777777" w:rsidR="002A5BA3" w:rsidRPr="00841334" w:rsidRDefault="002A5BA3" w:rsidP="005F7808">
            <w:pPr>
              <w:pStyle w:val="Zkladntext"/>
              <w:spacing w:line="276" w:lineRule="auto"/>
              <w:rPr>
                <w:b w:val="0"/>
                <w:sz w:val="22"/>
                <w:szCs w:val="22"/>
              </w:rPr>
            </w:pPr>
          </w:p>
          <w:p w14:paraId="7A8C4F97" w14:textId="77777777" w:rsidR="00841334" w:rsidRDefault="00841334" w:rsidP="005F7808">
            <w:pPr>
              <w:pStyle w:val="Zkladntext"/>
              <w:spacing w:line="276" w:lineRule="auto"/>
              <w:rPr>
                <w:b w:val="0"/>
                <w:sz w:val="22"/>
                <w:szCs w:val="22"/>
              </w:rPr>
            </w:pPr>
          </w:p>
          <w:p w14:paraId="25657D8B" w14:textId="2B33BAA7" w:rsidR="002A5BA3" w:rsidRPr="00841334" w:rsidRDefault="002A5BA3" w:rsidP="005F7808">
            <w:pPr>
              <w:pStyle w:val="Zkladntext"/>
              <w:spacing w:line="276" w:lineRule="auto"/>
              <w:rPr>
                <w:b w:val="0"/>
                <w:sz w:val="22"/>
                <w:szCs w:val="22"/>
              </w:rPr>
            </w:pPr>
            <w:r w:rsidRPr="00841334">
              <w:rPr>
                <w:b w:val="0"/>
                <w:sz w:val="22"/>
                <w:szCs w:val="22"/>
              </w:rPr>
              <w:t>tajemnice:</w:t>
            </w:r>
          </w:p>
        </w:tc>
        <w:tc>
          <w:tcPr>
            <w:tcW w:w="6661" w:type="dxa"/>
            <w:gridSpan w:val="5"/>
          </w:tcPr>
          <w:p w14:paraId="418E04C1" w14:textId="77777777" w:rsidR="002A5BA3" w:rsidRPr="00841334" w:rsidRDefault="002A5BA3" w:rsidP="005F7808">
            <w:pPr>
              <w:pStyle w:val="Odstavec1bNoEnterB"/>
              <w:tabs>
                <w:tab w:val="clear" w:pos="720"/>
              </w:tabs>
              <w:spacing w:before="0" w:after="0" w:line="276" w:lineRule="auto"/>
              <w:ind w:left="0"/>
              <w:rPr>
                <w:rFonts w:ascii="Times New Roman" w:hAnsi="Times New Roman"/>
                <w:bCs/>
              </w:rPr>
            </w:pPr>
          </w:p>
          <w:p w14:paraId="00592FFE" w14:textId="01E8D0E4" w:rsidR="002A5BA3" w:rsidRPr="00841334" w:rsidRDefault="002A5BA3" w:rsidP="005F7808">
            <w:pPr>
              <w:pStyle w:val="Odstavec1bNoEnterB"/>
              <w:tabs>
                <w:tab w:val="clear" w:pos="720"/>
              </w:tabs>
              <w:spacing w:before="0" w:after="0" w:line="276" w:lineRule="auto"/>
              <w:ind w:left="0"/>
              <w:rPr>
                <w:rFonts w:ascii="Times New Roman" w:hAnsi="Times New Roman"/>
                <w:bCs/>
              </w:rPr>
            </w:pPr>
            <w:r w:rsidRPr="00841334">
              <w:rPr>
                <w:rFonts w:ascii="Times New Roman" w:hAnsi="Times New Roman"/>
                <w:bCs/>
              </w:rPr>
              <w:t xml:space="preserve">Mgr. </w:t>
            </w:r>
            <w:r w:rsidR="004D4023" w:rsidRPr="00841334">
              <w:rPr>
                <w:rFonts w:ascii="Times New Roman" w:hAnsi="Times New Roman"/>
                <w:bCs/>
              </w:rPr>
              <w:t xml:space="preserve">Jakub </w:t>
            </w:r>
            <w:proofErr w:type="spellStart"/>
            <w:r w:rsidR="004D4023" w:rsidRPr="00841334">
              <w:rPr>
                <w:rFonts w:ascii="Times New Roman" w:hAnsi="Times New Roman"/>
                <w:bCs/>
              </w:rPr>
              <w:t>Lepš</w:t>
            </w:r>
            <w:proofErr w:type="spellEnd"/>
            <w:r w:rsidR="004D4023" w:rsidRPr="00841334">
              <w:rPr>
                <w:rFonts w:ascii="Times New Roman" w:hAnsi="Times New Roman"/>
                <w:bCs/>
              </w:rPr>
              <w:t>, M.A.</w:t>
            </w:r>
            <w:r w:rsidRPr="00841334">
              <w:rPr>
                <w:rFonts w:ascii="Times New Roman" w:hAnsi="Times New Roman"/>
                <w:bCs/>
              </w:rPr>
              <w:t xml:space="preserve"> </w:t>
            </w:r>
          </w:p>
          <w:p w14:paraId="56EC311D" w14:textId="004D5C60" w:rsidR="004D4023" w:rsidRPr="00841334" w:rsidRDefault="00841334" w:rsidP="005F7808">
            <w:pPr>
              <w:pStyle w:val="Odstavec1bNoEnterB"/>
              <w:tabs>
                <w:tab w:val="clear" w:pos="720"/>
              </w:tabs>
              <w:spacing w:before="0" w:after="0" w:line="276" w:lineRule="auto"/>
              <w:ind w:left="0"/>
              <w:rPr>
                <w:rFonts w:ascii="Times New Roman" w:hAnsi="Times New Roman"/>
                <w:bCs/>
              </w:rPr>
            </w:pPr>
            <w:r w:rsidRPr="00841334">
              <w:rPr>
                <w:rFonts w:ascii="Times New Roman" w:hAnsi="Times New Roman"/>
                <w:color w:val="414141"/>
              </w:rPr>
              <w:t xml:space="preserve">Mgr. Veronika Bednářová, M.A, doc. Adam Halaš, Ph.D., </w:t>
            </w:r>
            <w:r w:rsidR="0045175B">
              <w:rPr>
                <w:rFonts w:ascii="Times New Roman" w:hAnsi="Times New Roman"/>
                <w:color w:val="414141"/>
              </w:rPr>
              <w:t xml:space="preserve">doc. </w:t>
            </w:r>
            <w:r w:rsidRPr="00841334">
              <w:rPr>
                <w:rFonts w:ascii="Times New Roman" w:hAnsi="Times New Roman"/>
                <w:color w:val="414141"/>
              </w:rPr>
              <w:t xml:space="preserve">Mgr. MgA. Lucie Hayashi, Ph.D., Mgr. Vlastimil Ježek, Mgr. Mario Kubaš, Ph.D., MgA. Michal Lázňovský, PhD., Mgr. Helena Musilová, MgA. Lukáš Průdek, Ing. Daniel Sobotka, Mgr. Milan Tesař, Mgr. Marcela Turečková, </w:t>
            </w:r>
          </w:p>
          <w:p w14:paraId="32232DFF" w14:textId="523E5B81" w:rsidR="002A5BA3" w:rsidRPr="00841334" w:rsidRDefault="002A5BA3" w:rsidP="005F7808">
            <w:pPr>
              <w:pStyle w:val="Odstavec1bNoEnterB"/>
              <w:tabs>
                <w:tab w:val="clear" w:pos="720"/>
              </w:tabs>
              <w:spacing w:before="0" w:after="0" w:line="276" w:lineRule="auto"/>
              <w:ind w:left="0"/>
              <w:rPr>
                <w:rFonts w:ascii="Times New Roman" w:hAnsi="Times New Roman"/>
                <w:bCs/>
              </w:rPr>
            </w:pPr>
            <w:r w:rsidRPr="00841334">
              <w:rPr>
                <w:rFonts w:ascii="Times New Roman" w:hAnsi="Times New Roman"/>
                <w:bCs/>
              </w:rPr>
              <w:t>Tamara Hegerová, MgA. Kateřina Hakenová</w:t>
            </w:r>
          </w:p>
        </w:tc>
      </w:tr>
      <w:tr w:rsidR="002A5BA3" w:rsidRPr="004527C5" w14:paraId="33974BB2" w14:textId="77777777" w:rsidTr="00841334">
        <w:tc>
          <w:tcPr>
            <w:tcW w:w="1843" w:type="dxa"/>
          </w:tcPr>
          <w:p w14:paraId="7895CDFE" w14:textId="77777777" w:rsidR="002A5BA3" w:rsidRPr="00841334" w:rsidRDefault="002A5BA3" w:rsidP="005F7808">
            <w:pPr>
              <w:pStyle w:val="Zkladntext"/>
              <w:spacing w:line="276" w:lineRule="auto"/>
              <w:rPr>
                <w:b w:val="0"/>
                <w:sz w:val="22"/>
                <w:szCs w:val="22"/>
              </w:rPr>
            </w:pPr>
            <w:r w:rsidRPr="00841334">
              <w:rPr>
                <w:b w:val="0"/>
                <w:sz w:val="22"/>
                <w:szCs w:val="22"/>
              </w:rPr>
              <w:t>Omluveni:</w:t>
            </w:r>
          </w:p>
          <w:p w14:paraId="260C7459" w14:textId="77777777" w:rsidR="002A5BA3" w:rsidRPr="005F7808" w:rsidRDefault="002A5BA3" w:rsidP="005F7808">
            <w:pPr>
              <w:pStyle w:val="Zkladntext"/>
              <w:spacing w:line="276" w:lineRule="auto"/>
              <w:rPr>
                <w:bCs w:val="0"/>
                <w:sz w:val="22"/>
                <w:szCs w:val="22"/>
              </w:rPr>
            </w:pPr>
            <w:r w:rsidRPr="005F7808">
              <w:rPr>
                <w:b w:val="0"/>
                <w:bCs w:val="0"/>
                <w:sz w:val="22"/>
                <w:szCs w:val="22"/>
              </w:rPr>
              <w:t>člen:</w:t>
            </w:r>
          </w:p>
        </w:tc>
        <w:tc>
          <w:tcPr>
            <w:tcW w:w="6661" w:type="dxa"/>
            <w:gridSpan w:val="5"/>
          </w:tcPr>
          <w:p w14:paraId="46D84389" w14:textId="77777777" w:rsidR="002A5BA3" w:rsidRPr="005F7808" w:rsidRDefault="002A5BA3" w:rsidP="005F7808">
            <w:pPr>
              <w:pStyle w:val="Odstavec1bNoEnterB"/>
              <w:tabs>
                <w:tab w:val="clear" w:pos="720"/>
              </w:tabs>
              <w:spacing w:before="0" w:after="0" w:line="276" w:lineRule="auto"/>
              <w:ind w:left="0"/>
              <w:rPr>
                <w:rFonts w:ascii="Times New Roman" w:hAnsi="Times New Roman"/>
              </w:rPr>
            </w:pPr>
          </w:p>
          <w:p w14:paraId="71A3CA5D" w14:textId="6BD5C504" w:rsidR="002A5BA3" w:rsidRPr="005F7808" w:rsidRDefault="002A5BA3" w:rsidP="005F7808">
            <w:pPr>
              <w:pStyle w:val="Odstavec1bNoEnterB"/>
              <w:tabs>
                <w:tab w:val="clear" w:pos="720"/>
              </w:tabs>
              <w:spacing w:before="0" w:after="0" w:line="276" w:lineRule="auto"/>
              <w:ind w:left="0"/>
              <w:rPr>
                <w:rFonts w:ascii="Times New Roman" w:hAnsi="Times New Roman"/>
              </w:rPr>
            </w:pPr>
            <w:r w:rsidRPr="005F7808">
              <w:rPr>
                <w:rFonts w:ascii="Times New Roman" w:hAnsi="Times New Roman"/>
                <w:color w:val="000000" w:themeColor="text1"/>
              </w:rPr>
              <w:t>MgA. Vratislav Šlajer</w:t>
            </w:r>
            <w:r w:rsidR="00B52EF6">
              <w:rPr>
                <w:rFonts w:ascii="Times New Roman" w:hAnsi="Times New Roman"/>
                <w:color w:val="000000" w:themeColor="text1"/>
              </w:rPr>
              <w:t>,</w:t>
            </w:r>
            <w:r w:rsidR="00B52EF6" w:rsidRPr="00841334">
              <w:rPr>
                <w:rFonts w:ascii="Times New Roman" w:hAnsi="Times New Roman"/>
                <w:color w:val="414141"/>
              </w:rPr>
              <w:t xml:space="preserve"> Mgr. Petr Vaňous, Ph.D., Mgr. Petr Vizina</w:t>
            </w:r>
            <w:r w:rsidR="00B52EF6">
              <w:rPr>
                <w:rFonts w:ascii="Times New Roman" w:hAnsi="Times New Roman"/>
                <w:color w:val="414141"/>
              </w:rPr>
              <w:t>,</w:t>
            </w:r>
            <w:r w:rsidR="00B52EF6" w:rsidRPr="00841334">
              <w:rPr>
                <w:rFonts w:ascii="Times New Roman" w:hAnsi="Times New Roman"/>
                <w:color w:val="414141"/>
              </w:rPr>
              <w:t xml:space="preserve"> PhDr. Jan Lukeš,</w:t>
            </w:r>
            <w:r w:rsidR="00EF0E8D">
              <w:rPr>
                <w:rFonts w:ascii="Times New Roman" w:hAnsi="Times New Roman"/>
                <w:color w:val="414141"/>
              </w:rPr>
              <w:t xml:space="preserve"> </w:t>
            </w:r>
            <w:r w:rsidR="00EF0E8D" w:rsidRPr="00EF0E8D">
              <w:rPr>
                <w:rFonts w:ascii="Times New Roman" w:hAnsi="Times New Roman"/>
              </w:rPr>
              <w:t xml:space="preserve">doc. MgA. Ivo </w:t>
            </w:r>
            <w:proofErr w:type="spellStart"/>
            <w:r w:rsidR="00EF0E8D" w:rsidRPr="00EF0E8D">
              <w:rPr>
                <w:rFonts w:ascii="Times New Roman" w:hAnsi="Times New Roman"/>
              </w:rPr>
              <w:t>Mathé</w:t>
            </w:r>
            <w:proofErr w:type="spellEnd"/>
          </w:p>
        </w:tc>
      </w:tr>
      <w:tr w:rsidR="002A5BA3" w:rsidRPr="004527C5" w14:paraId="048FC9B0" w14:textId="77777777" w:rsidTr="00841334">
        <w:tc>
          <w:tcPr>
            <w:tcW w:w="1843" w:type="dxa"/>
          </w:tcPr>
          <w:p w14:paraId="308639C7" w14:textId="77777777" w:rsidR="002A5BA3" w:rsidRPr="00841334" w:rsidRDefault="002A5BA3" w:rsidP="005F7808">
            <w:pPr>
              <w:pStyle w:val="Zkladntext"/>
              <w:spacing w:line="276" w:lineRule="auto"/>
              <w:rPr>
                <w:b w:val="0"/>
                <w:sz w:val="22"/>
                <w:szCs w:val="22"/>
              </w:rPr>
            </w:pPr>
            <w:r w:rsidRPr="00841334">
              <w:rPr>
                <w:b w:val="0"/>
                <w:sz w:val="22"/>
                <w:szCs w:val="22"/>
              </w:rPr>
              <w:t>Hosté:</w:t>
            </w:r>
          </w:p>
        </w:tc>
        <w:tc>
          <w:tcPr>
            <w:tcW w:w="6661" w:type="dxa"/>
            <w:gridSpan w:val="5"/>
          </w:tcPr>
          <w:p w14:paraId="28634D0E" w14:textId="251EB1D2" w:rsidR="002A5BA3" w:rsidRPr="005F7808" w:rsidRDefault="002A5BA3" w:rsidP="005F7808">
            <w:pPr>
              <w:pStyle w:val="Zkladntext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5F7808">
              <w:rPr>
                <w:b w:val="0"/>
                <w:sz w:val="22"/>
                <w:szCs w:val="22"/>
              </w:rPr>
              <w:t xml:space="preserve">MgA. Jiří Sulženko, PhD., ředitel odboru kultury a cestovního ruchu </w:t>
            </w:r>
            <w:r w:rsidR="00841334">
              <w:rPr>
                <w:b w:val="0"/>
                <w:sz w:val="22"/>
                <w:szCs w:val="22"/>
              </w:rPr>
              <w:t>MHMP</w:t>
            </w:r>
          </w:p>
        </w:tc>
      </w:tr>
      <w:tr w:rsidR="002A5BA3" w:rsidRPr="004527C5" w14:paraId="135D4932" w14:textId="77777777" w:rsidTr="00841334">
        <w:tc>
          <w:tcPr>
            <w:tcW w:w="1843" w:type="dxa"/>
          </w:tcPr>
          <w:p w14:paraId="1B390FE0" w14:textId="77777777" w:rsidR="002A5BA3" w:rsidRPr="005F7808" w:rsidRDefault="002A5BA3" w:rsidP="005F7808">
            <w:pPr>
              <w:pStyle w:val="Zkladntext"/>
              <w:spacing w:line="276" w:lineRule="auto"/>
              <w:rPr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7722BAEB" w14:textId="77777777" w:rsidR="002A5BA3" w:rsidRPr="005F7808" w:rsidRDefault="002A5BA3" w:rsidP="005F7808">
            <w:pPr>
              <w:pStyle w:val="Zkladntext"/>
              <w:spacing w:line="276" w:lineRule="auto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848" w:type="dxa"/>
          </w:tcPr>
          <w:p w14:paraId="0A69D292" w14:textId="77777777" w:rsidR="002A5BA3" w:rsidRPr="005F7808" w:rsidRDefault="002A5BA3" w:rsidP="005F7808">
            <w:pPr>
              <w:pStyle w:val="Zkladntext"/>
              <w:spacing w:line="276" w:lineRule="auto"/>
              <w:rPr>
                <w:b w:val="0"/>
                <w:color w:val="FF0000"/>
                <w:sz w:val="22"/>
                <w:szCs w:val="22"/>
              </w:rPr>
            </w:pPr>
            <w:r w:rsidRPr="005F7808">
              <w:rPr>
                <w:b w:val="0"/>
                <w:color w:val="000000" w:themeColor="text1"/>
                <w:sz w:val="22"/>
                <w:szCs w:val="22"/>
              </w:rPr>
              <w:t xml:space="preserve">Počet stran/příloh: </w:t>
            </w:r>
          </w:p>
        </w:tc>
        <w:tc>
          <w:tcPr>
            <w:tcW w:w="545" w:type="dxa"/>
          </w:tcPr>
          <w:p w14:paraId="18BFCEA2" w14:textId="5A0C2A66" w:rsidR="002A5BA3" w:rsidRPr="005F7808" w:rsidRDefault="002A5BA3" w:rsidP="005F7808">
            <w:pPr>
              <w:pStyle w:val="Zkladntext"/>
              <w:spacing w:line="276" w:lineRule="auto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30" w:type="dxa"/>
          </w:tcPr>
          <w:p w14:paraId="1166DB0C" w14:textId="77777777" w:rsidR="002A5BA3" w:rsidRPr="005F7808" w:rsidRDefault="002A5BA3" w:rsidP="005F7808">
            <w:pPr>
              <w:pStyle w:val="Zkladntext"/>
              <w:spacing w:line="276" w:lineRule="auto"/>
              <w:rPr>
                <w:b w:val="0"/>
                <w:sz w:val="22"/>
                <w:szCs w:val="22"/>
              </w:rPr>
            </w:pPr>
            <w:r w:rsidRPr="005F7808">
              <w:rPr>
                <w:b w:val="0"/>
                <w:sz w:val="22"/>
                <w:szCs w:val="22"/>
              </w:rPr>
              <w:t>Datum zpracování:</w:t>
            </w:r>
          </w:p>
        </w:tc>
        <w:tc>
          <w:tcPr>
            <w:tcW w:w="1253" w:type="dxa"/>
          </w:tcPr>
          <w:p w14:paraId="31EE05B2" w14:textId="76CAB845" w:rsidR="002A5BA3" w:rsidRPr="005F7808" w:rsidRDefault="00B52EF6" w:rsidP="005F7808">
            <w:pPr>
              <w:pStyle w:val="Zkladntext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  <w:r w:rsidR="002A5BA3" w:rsidRPr="005F7808">
              <w:rPr>
                <w:b w:val="0"/>
                <w:sz w:val="22"/>
                <w:szCs w:val="22"/>
              </w:rPr>
              <w:t xml:space="preserve">. </w:t>
            </w:r>
            <w:r w:rsidR="002A5BA3" w:rsidRPr="00C70A52">
              <w:rPr>
                <w:b w:val="0"/>
                <w:sz w:val="22"/>
                <w:szCs w:val="22"/>
              </w:rPr>
              <w:t>6</w:t>
            </w:r>
            <w:r w:rsidR="002A5BA3" w:rsidRPr="005F7808">
              <w:rPr>
                <w:b w:val="0"/>
                <w:sz w:val="22"/>
                <w:szCs w:val="22"/>
              </w:rPr>
              <w:t>. 202</w:t>
            </w:r>
            <w:r>
              <w:rPr>
                <w:b w:val="0"/>
                <w:sz w:val="22"/>
                <w:szCs w:val="22"/>
              </w:rPr>
              <w:t>4</w:t>
            </w:r>
          </w:p>
        </w:tc>
      </w:tr>
    </w:tbl>
    <w:p w14:paraId="7CCDBA3C" w14:textId="77777777" w:rsidR="002A5BA3" w:rsidRPr="00456CE3" w:rsidRDefault="002A5BA3" w:rsidP="002A5BA3">
      <w:pPr>
        <w:pStyle w:val="Zkladntext"/>
        <w:spacing w:line="276" w:lineRule="auto"/>
        <w:rPr>
          <w:b w:val="0"/>
          <w:bCs w:val="0"/>
          <w:color w:val="FF0000"/>
          <w:sz w:val="22"/>
          <w:szCs w:val="22"/>
        </w:rPr>
      </w:pPr>
    </w:p>
    <w:p w14:paraId="7B6E7D0A" w14:textId="77777777" w:rsidR="002A5BA3" w:rsidRPr="008544DD" w:rsidRDefault="002A5BA3" w:rsidP="002A5BA3">
      <w:pPr>
        <w:pStyle w:val="Zkladntext"/>
        <w:spacing w:line="276" w:lineRule="auto"/>
        <w:jc w:val="both"/>
        <w:rPr>
          <w:bCs w:val="0"/>
          <w:sz w:val="22"/>
          <w:szCs w:val="22"/>
        </w:rPr>
      </w:pPr>
      <w:r w:rsidRPr="008544DD">
        <w:rPr>
          <w:bCs w:val="0"/>
          <w:sz w:val="22"/>
          <w:szCs w:val="22"/>
        </w:rPr>
        <w:t>Body programu</w:t>
      </w:r>
    </w:p>
    <w:p w14:paraId="444AEDA2" w14:textId="11920CA6" w:rsidR="00B52EF6" w:rsidRDefault="00B52EF6" w:rsidP="00B52EF6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Úvod, organizační záležitosti</w:t>
      </w:r>
    </w:p>
    <w:p w14:paraId="03D3772C" w14:textId="57B57D53" w:rsidR="00B52EF6" w:rsidRPr="00B52EF6" w:rsidRDefault="00B52EF6" w:rsidP="00B52EF6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B52EF6">
        <w:rPr>
          <w:rFonts w:ascii="Times New Roman" w:hAnsi="Times New Roman" w:cs="Times New Roman"/>
          <w:color w:val="000000"/>
        </w:rPr>
        <w:t xml:space="preserve">Představení Programu podpory v oblasti kultury a umění pro jednoleté dotace v roce 2025 a pro víceleté dotace na léta </w:t>
      </w:r>
      <w:proofErr w:type="gramStart"/>
      <w:r w:rsidRPr="00B52EF6">
        <w:rPr>
          <w:rFonts w:ascii="Times New Roman" w:hAnsi="Times New Roman" w:cs="Times New Roman"/>
          <w:color w:val="000000"/>
        </w:rPr>
        <w:t>2026 – 2029</w:t>
      </w:r>
      <w:proofErr w:type="gramEnd"/>
    </w:p>
    <w:p w14:paraId="098B410A" w14:textId="77777777" w:rsidR="00B52EF6" w:rsidRPr="00B52EF6" w:rsidRDefault="00B52EF6" w:rsidP="00B52EF6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B52EF6">
        <w:rPr>
          <w:rFonts w:ascii="Times New Roman" w:hAnsi="Times New Roman" w:cs="Times New Roman"/>
          <w:color w:val="000000"/>
        </w:rPr>
        <w:t>Schválení expertních hodnotitelů</w:t>
      </w:r>
    </w:p>
    <w:p w14:paraId="3E4AC04D" w14:textId="77777777" w:rsidR="00B52EF6" w:rsidRPr="00B52EF6" w:rsidRDefault="00B52EF6" w:rsidP="00B52EF6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B52EF6">
        <w:rPr>
          <w:rFonts w:ascii="Times New Roman" w:hAnsi="Times New Roman" w:cs="Times New Roman"/>
          <w:color w:val="000000"/>
        </w:rPr>
        <w:t>Výstupy a evaluace z dotačního řízení v roce 2023</w:t>
      </w:r>
    </w:p>
    <w:p w14:paraId="54C00F21" w14:textId="77777777" w:rsidR="00B52EF6" w:rsidRPr="00B52EF6" w:rsidRDefault="00B52EF6" w:rsidP="00B52EF6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B52EF6">
        <w:rPr>
          <w:rFonts w:ascii="Times New Roman" w:hAnsi="Times New Roman" w:cs="Times New Roman"/>
          <w:color w:val="000000"/>
        </w:rPr>
        <w:t>Nastavení strategií a koncepce hodnocení programových dotací</w:t>
      </w:r>
    </w:p>
    <w:p w14:paraId="671157ED" w14:textId="77777777" w:rsidR="00B52EF6" w:rsidRPr="00B52EF6" w:rsidRDefault="00B52EF6" w:rsidP="00B52EF6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B52EF6">
        <w:rPr>
          <w:rFonts w:ascii="Times New Roman" w:hAnsi="Times New Roman" w:cs="Times New Roman"/>
          <w:color w:val="000000"/>
        </w:rPr>
        <w:t xml:space="preserve">Různé </w:t>
      </w:r>
    </w:p>
    <w:p w14:paraId="1F67115E" w14:textId="77777777" w:rsidR="00B52EF6" w:rsidRPr="00B52EF6" w:rsidRDefault="00B52EF6" w:rsidP="00B52EF6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B52EF6">
        <w:rPr>
          <w:rFonts w:ascii="Times New Roman" w:hAnsi="Times New Roman" w:cs="Times New Roman"/>
          <w:color w:val="000000"/>
        </w:rPr>
        <w:t>Závěr</w:t>
      </w:r>
    </w:p>
    <w:p w14:paraId="65785393" w14:textId="77777777" w:rsidR="002A5BA3" w:rsidRPr="008544DD" w:rsidRDefault="002A5BA3" w:rsidP="002A5BA3">
      <w:pPr>
        <w:tabs>
          <w:tab w:val="left" w:pos="2595"/>
        </w:tabs>
        <w:spacing w:line="276" w:lineRule="auto"/>
        <w:jc w:val="both"/>
      </w:pPr>
      <w:r w:rsidRPr="008544DD">
        <w:tab/>
      </w:r>
    </w:p>
    <w:p w14:paraId="542B08EA" w14:textId="77777777" w:rsidR="002A5BA3" w:rsidRPr="008544DD" w:rsidRDefault="002A5BA3" w:rsidP="002A5BA3">
      <w:pPr>
        <w:spacing w:line="276" w:lineRule="auto"/>
        <w:jc w:val="both"/>
        <w:rPr>
          <w:b/>
        </w:rPr>
      </w:pPr>
      <w:r w:rsidRPr="008544DD">
        <w:rPr>
          <w:b/>
        </w:rPr>
        <w:t>Předložené materiály</w:t>
      </w:r>
    </w:p>
    <w:p w14:paraId="6D6F8491" w14:textId="58C4ADCF" w:rsidR="002A5BA3" w:rsidRPr="008544DD" w:rsidRDefault="002A5BA3" w:rsidP="002A5BA3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544DD">
        <w:rPr>
          <w:rFonts w:ascii="Times New Roman" w:hAnsi="Times New Roman" w:cs="Times New Roman"/>
        </w:rPr>
        <w:t>Program podpory v oblasti kultury a umění pro jednoleté dotace pro rok 202</w:t>
      </w:r>
      <w:r w:rsidR="00B52EF6">
        <w:rPr>
          <w:rFonts w:ascii="Times New Roman" w:hAnsi="Times New Roman" w:cs="Times New Roman"/>
        </w:rPr>
        <w:t>5</w:t>
      </w:r>
      <w:r w:rsidRPr="008544DD">
        <w:rPr>
          <w:rFonts w:ascii="Times New Roman" w:hAnsi="Times New Roman" w:cs="Times New Roman"/>
        </w:rPr>
        <w:t xml:space="preserve"> a pro víceleté dotace na léta 202</w:t>
      </w:r>
      <w:r w:rsidR="00B52EF6">
        <w:rPr>
          <w:rFonts w:ascii="Times New Roman" w:hAnsi="Times New Roman" w:cs="Times New Roman"/>
        </w:rPr>
        <w:t>6</w:t>
      </w:r>
      <w:r w:rsidRPr="008544DD">
        <w:rPr>
          <w:rFonts w:ascii="Times New Roman" w:hAnsi="Times New Roman" w:cs="Times New Roman"/>
        </w:rPr>
        <w:t>–202</w:t>
      </w:r>
      <w:r w:rsidR="00B52EF6">
        <w:rPr>
          <w:rFonts w:ascii="Times New Roman" w:hAnsi="Times New Roman" w:cs="Times New Roman"/>
        </w:rPr>
        <w:t>9</w:t>
      </w:r>
    </w:p>
    <w:p w14:paraId="6EBCD93F" w14:textId="31AB0C4B" w:rsidR="00A2701A" w:rsidRPr="005F7808" w:rsidRDefault="00A2701A" w:rsidP="00A2701A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5F7808">
        <w:rPr>
          <w:rFonts w:ascii="Times New Roman" w:hAnsi="Times New Roman" w:cs="Times New Roman"/>
          <w:color w:val="000000"/>
        </w:rPr>
        <w:t>Harmonogram dotačního řízení v roce 202</w:t>
      </w:r>
      <w:r w:rsidR="00B52EF6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/202</w:t>
      </w:r>
      <w:r w:rsidR="00B52EF6">
        <w:rPr>
          <w:rFonts w:ascii="Times New Roman" w:hAnsi="Times New Roman" w:cs="Times New Roman"/>
          <w:color w:val="000000"/>
        </w:rPr>
        <w:t>5</w:t>
      </w:r>
      <w:r w:rsidRPr="005F7808">
        <w:rPr>
          <w:rFonts w:ascii="Times New Roman" w:hAnsi="Times New Roman" w:cs="Times New Roman"/>
          <w:color w:val="000000"/>
        </w:rPr>
        <w:t xml:space="preserve"> (dále jen „Harmonogram“)</w:t>
      </w:r>
    </w:p>
    <w:p w14:paraId="6A3DA6A2" w14:textId="170349B5" w:rsidR="002A5BA3" w:rsidRDefault="00B52EF6" w:rsidP="002A5BA3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Powerpointová</w:t>
      </w:r>
      <w:proofErr w:type="spellEnd"/>
      <w:r>
        <w:rPr>
          <w:rFonts w:ascii="Times New Roman" w:hAnsi="Times New Roman" w:cs="Times New Roman"/>
        </w:rPr>
        <w:t xml:space="preserve"> p</w:t>
      </w:r>
      <w:r w:rsidR="002A5BA3" w:rsidRPr="008544DD">
        <w:rPr>
          <w:rFonts w:ascii="Times New Roman" w:hAnsi="Times New Roman" w:cs="Times New Roman"/>
        </w:rPr>
        <w:t>rezentace pro Dotační komisi</w:t>
      </w:r>
    </w:p>
    <w:p w14:paraId="094856D6" w14:textId="74083B33" w:rsidR="00A2701A" w:rsidRPr="008544DD" w:rsidRDefault="00A2701A" w:rsidP="002A5BA3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Seznam externích hodnotitelů pro 1. kolo hodnocení žádostí</w:t>
      </w:r>
    </w:p>
    <w:p w14:paraId="5A2E8DB6" w14:textId="5BA2AFB4" w:rsidR="002A5BA3" w:rsidRPr="00687160" w:rsidRDefault="002A5BA3" w:rsidP="002A5BA3">
      <w:pPr>
        <w:pStyle w:val="Odstavecseseznamem"/>
        <w:numPr>
          <w:ilvl w:val="0"/>
          <w:numId w:val="2"/>
        </w:numPr>
        <w:spacing w:line="276" w:lineRule="auto"/>
        <w:jc w:val="both"/>
      </w:pPr>
      <w:r w:rsidRPr="005F7808">
        <w:rPr>
          <w:rFonts w:ascii="Times New Roman" w:hAnsi="Times New Roman" w:cs="Times New Roman"/>
        </w:rPr>
        <w:lastRenderedPageBreak/>
        <w:t>Pravidla činnosti komise Rady hl. m. Prahy pro udělování dotací hl. m. Prahy v oblasti kultury a umění v dotačním řízení pro rok 202</w:t>
      </w:r>
      <w:r w:rsidR="00B52EF6">
        <w:rPr>
          <w:rFonts w:ascii="Times New Roman" w:hAnsi="Times New Roman" w:cs="Times New Roman"/>
        </w:rPr>
        <w:t>4</w:t>
      </w:r>
    </w:p>
    <w:p w14:paraId="3CDC6101" w14:textId="77777777" w:rsidR="002A5BA3" w:rsidRPr="008544DD" w:rsidRDefault="002A5BA3" w:rsidP="002A5BA3">
      <w:pPr>
        <w:spacing w:line="276" w:lineRule="auto"/>
        <w:jc w:val="both"/>
      </w:pPr>
    </w:p>
    <w:p w14:paraId="6D822EF7" w14:textId="11A9E406" w:rsidR="002A5BA3" w:rsidRPr="008544DD" w:rsidRDefault="002A5BA3" w:rsidP="002A5BA3">
      <w:pPr>
        <w:pStyle w:val="Zkladntext"/>
        <w:spacing w:line="276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>
        <w:rPr>
          <w:b w:val="0"/>
          <w:bCs w:val="0"/>
          <w:color w:val="000000" w:themeColor="text1"/>
          <w:sz w:val="22"/>
          <w:szCs w:val="22"/>
        </w:rPr>
        <w:t>DK</w:t>
      </w:r>
      <w:r w:rsidRPr="008544DD">
        <w:rPr>
          <w:b w:val="0"/>
          <w:bCs w:val="0"/>
          <w:color w:val="000000" w:themeColor="text1"/>
          <w:sz w:val="22"/>
          <w:szCs w:val="22"/>
        </w:rPr>
        <w:t xml:space="preserve"> se sešla v počtu 1</w:t>
      </w:r>
      <w:r w:rsidR="00B52EF6">
        <w:rPr>
          <w:b w:val="0"/>
          <w:bCs w:val="0"/>
          <w:color w:val="000000" w:themeColor="text1"/>
          <w:sz w:val="22"/>
          <w:szCs w:val="22"/>
        </w:rPr>
        <w:t xml:space="preserve">2 </w:t>
      </w:r>
      <w:r w:rsidRPr="008544DD">
        <w:rPr>
          <w:b w:val="0"/>
          <w:bCs w:val="0"/>
          <w:color w:val="000000" w:themeColor="text1"/>
          <w:sz w:val="22"/>
          <w:szCs w:val="22"/>
        </w:rPr>
        <w:t xml:space="preserve">osob a byla usnášení schopná. </w:t>
      </w:r>
    </w:p>
    <w:p w14:paraId="36509E23" w14:textId="77777777" w:rsidR="002A5BA3" w:rsidRPr="008544DD" w:rsidRDefault="002A5BA3" w:rsidP="002A5BA3">
      <w:pPr>
        <w:spacing w:line="276" w:lineRule="auto"/>
        <w:jc w:val="both"/>
      </w:pPr>
    </w:p>
    <w:p w14:paraId="4DCF677A" w14:textId="77777777" w:rsidR="002A5BA3" w:rsidRPr="00CF46B7" w:rsidRDefault="002A5BA3" w:rsidP="002A5BA3">
      <w:pPr>
        <w:spacing w:line="276" w:lineRule="auto"/>
        <w:jc w:val="both"/>
        <w:rPr>
          <w:b/>
        </w:rPr>
      </w:pPr>
      <w:r w:rsidRPr="00CF46B7">
        <w:rPr>
          <w:b/>
        </w:rPr>
        <w:t>Průběh jednání</w:t>
      </w:r>
    </w:p>
    <w:p w14:paraId="28C18718" w14:textId="77777777" w:rsidR="002A5BA3" w:rsidRPr="00CF46B7" w:rsidRDefault="002A5BA3" w:rsidP="002A5BA3">
      <w:pPr>
        <w:spacing w:line="276" w:lineRule="auto"/>
        <w:jc w:val="both"/>
        <w:rPr>
          <w:b/>
        </w:rPr>
      </w:pPr>
    </w:p>
    <w:p w14:paraId="755325EB" w14:textId="3CAFDF92" w:rsidR="002A5BA3" w:rsidRPr="00CF46B7" w:rsidRDefault="002A5BA3" w:rsidP="00B52EF6">
      <w:pPr>
        <w:spacing w:line="276" w:lineRule="auto"/>
        <w:jc w:val="both"/>
        <w:rPr>
          <w:bCs/>
        </w:rPr>
      </w:pPr>
      <w:r w:rsidRPr="00CF46B7">
        <w:rPr>
          <w:b/>
        </w:rPr>
        <w:t xml:space="preserve">1/ Úvod </w:t>
      </w:r>
    </w:p>
    <w:p w14:paraId="11E2A4FB" w14:textId="77777777" w:rsidR="002A5BA3" w:rsidRPr="00CF46B7" w:rsidRDefault="002A5BA3" w:rsidP="002A5BA3">
      <w:pPr>
        <w:spacing w:line="276" w:lineRule="auto"/>
        <w:jc w:val="both"/>
      </w:pPr>
    </w:p>
    <w:p w14:paraId="3EDFE75B" w14:textId="47C1FCE8" w:rsidR="002A5BA3" w:rsidRPr="00CF46B7" w:rsidRDefault="002A5BA3" w:rsidP="002A5BA3">
      <w:pPr>
        <w:spacing w:line="276" w:lineRule="auto"/>
        <w:jc w:val="both"/>
        <w:rPr>
          <w:b/>
          <w:bCs/>
        </w:rPr>
      </w:pPr>
      <w:r w:rsidRPr="00CF46B7">
        <w:rPr>
          <w:b/>
          <w:bCs/>
        </w:rPr>
        <w:t xml:space="preserve">Usnesení </w:t>
      </w:r>
    </w:p>
    <w:p w14:paraId="2EBB7469" w14:textId="66E058F8" w:rsidR="002A5BA3" w:rsidRPr="00CF46B7" w:rsidRDefault="002A5BA3" w:rsidP="002A5BA3">
      <w:pPr>
        <w:spacing w:line="276" w:lineRule="auto"/>
        <w:jc w:val="both"/>
      </w:pPr>
      <w:r w:rsidRPr="00CF46B7">
        <w:t>Dle jednacího řádu komisí je na návrh předsedy vyjádřen souhlas všech přítomných členů s účastí host</w:t>
      </w:r>
      <w:r w:rsidR="00973E81" w:rsidRPr="00CF46B7">
        <w:t>a</w:t>
      </w:r>
      <w:r w:rsidRPr="00CF46B7">
        <w:t xml:space="preserve"> Jiřího </w:t>
      </w:r>
      <w:proofErr w:type="spellStart"/>
      <w:r w:rsidRPr="00CF46B7">
        <w:t>Sulženka</w:t>
      </w:r>
      <w:proofErr w:type="spellEnd"/>
      <w:r w:rsidRPr="00CF46B7">
        <w:t xml:space="preserve">, ředitele odboru </w:t>
      </w:r>
      <w:r w:rsidR="00841334" w:rsidRPr="00CF46B7">
        <w:t>KUC MHMP</w:t>
      </w:r>
    </w:p>
    <w:p w14:paraId="686DBEA1" w14:textId="6915AB05" w:rsidR="002A5BA3" w:rsidRPr="00CF46B7" w:rsidRDefault="002A5BA3" w:rsidP="002A5BA3">
      <w:pPr>
        <w:spacing w:line="276" w:lineRule="auto"/>
        <w:jc w:val="both"/>
      </w:pPr>
      <w:r w:rsidRPr="00CF46B7">
        <w:rPr>
          <w:b/>
          <w:bCs/>
        </w:rPr>
        <w:t>Usnesení bylo schváleno jednomyslně</w:t>
      </w:r>
      <w:r w:rsidRPr="00CF46B7">
        <w:t xml:space="preserve"> 1</w:t>
      </w:r>
      <w:r w:rsidR="00944BEE">
        <w:t>2</w:t>
      </w:r>
      <w:r w:rsidRPr="00CF46B7">
        <w:t xml:space="preserve"> PRO / 0 PROTI / 0 SE ZDRŽEL</w:t>
      </w:r>
    </w:p>
    <w:p w14:paraId="53662515" w14:textId="77777777" w:rsidR="003E3CCC" w:rsidRDefault="003E3CCC" w:rsidP="003E3CCC">
      <w:pPr>
        <w:spacing w:line="276" w:lineRule="auto"/>
        <w:jc w:val="both"/>
        <w:rPr>
          <w:b/>
        </w:rPr>
      </w:pPr>
    </w:p>
    <w:p w14:paraId="06A2180C" w14:textId="0BA171AA" w:rsidR="003E3CCC" w:rsidRPr="00B52EF6" w:rsidRDefault="003E3CCC" w:rsidP="003E3CCC">
      <w:pPr>
        <w:spacing w:line="360" w:lineRule="auto"/>
        <w:rPr>
          <w:color w:val="000000"/>
        </w:rPr>
      </w:pPr>
      <w:r w:rsidRPr="003E3CCC">
        <w:rPr>
          <w:b/>
        </w:rPr>
        <w:t xml:space="preserve">2/ </w:t>
      </w:r>
      <w:r w:rsidRPr="003E3CCC">
        <w:rPr>
          <w:b/>
          <w:bCs/>
          <w:color w:val="000000"/>
        </w:rPr>
        <w:t>Výstupy a evaluace z dotačního řízení v roce 2023 a 3/ Nastavení strategií a koncepce hodnocení programových dotací</w:t>
      </w:r>
    </w:p>
    <w:p w14:paraId="55370233" w14:textId="77777777" w:rsidR="002A5BA3" w:rsidRPr="00CF46B7" w:rsidRDefault="002A5BA3" w:rsidP="002A5BA3">
      <w:pPr>
        <w:spacing w:line="276" w:lineRule="auto"/>
        <w:jc w:val="both"/>
      </w:pPr>
    </w:p>
    <w:p w14:paraId="5304765F" w14:textId="0FF97CFE" w:rsidR="003E3CCC" w:rsidRPr="003E3CCC" w:rsidRDefault="002A5BA3" w:rsidP="003E3CCC">
      <w:pPr>
        <w:spacing w:after="120" w:line="276" w:lineRule="auto"/>
        <w:ind w:left="284" w:right="108"/>
        <w:jc w:val="both"/>
      </w:pPr>
      <w:r w:rsidRPr="003E3CCC">
        <w:t xml:space="preserve">Následně předseda předal slovo řediteli </w:t>
      </w:r>
      <w:proofErr w:type="spellStart"/>
      <w:r w:rsidRPr="003E3CCC">
        <w:t>Sulženkovi</w:t>
      </w:r>
      <w:proofErr w:type="spellEnd"/>
      <w:r w:rsidRPr="003E3CCC">
        <w:t xml:space="preserve">, který pozdravil přítomné a </w:t>
      </w:r>
      <w:r w:rsidR="0045249E" w:rsidRPr="003E3CCC">
        <w:t>shrnul nejpodstatnější změny ve struktuře jednotlivých Opatření dotačního programu pro rok 202</w:t>
      </w:r>
      <w:r w:rsidR="00944BEE" w:rsidRPr="003E3CCC">
        <w:t xml:space="preserve">5 a nejdůležitější strategie pro dotační řízení včetně bonifikovaných žádostí, které se hlásí k participaci na projektech </w:t>
      </w:r>
      <w:r w:rsidR="00944BEE" w:rsidRPr="003E3CCC">
        <w:rPr>
          <w:bCs/>
        </w:rPr>
        <w:t xml:space="preserve">mezinárodní spolupráce v rámci programu </w:t>
      </w:r>
      <w:r w:rsidR="00944BEE" w:rsidRPr="003E3CCC">
        <w:rPr>
          <w:b/>
        </w:rPr>
        <w:t>Evropské hlavní město kultury Chemnitz 2025</w:t>
      </w:r>
      <w:r w:rsidR="00944BEE" w:rsidRPr="003E3CCC">
        <w:rPr>
          <w:bCs/>
        </w:rPr>
        <w:t xml:space="preserve">. </w:t>
      </w:r>
      <w:r w:rsidR="003E3CCC" w:rsidRPr="003E3CCC">
        <w:rPr>
          <w:bCs/>
        </w:rPr>
        <w:t xml:space="preserve"> Dále seznámil členy </w:t>
      </w:r>
      <w:proofErr w:type="spellStart"/>
      <w:r w:rsidR="003E3CCC" w:rsidRPr="003E3CCC">
        <w:rPr>
          <w:bCs/>
        </w:rPr>
        <w:t>Dk</w:t>
      </w:r>
      <w:proofErr w:type="spellEnd"/>
      <w:r w:rsidR="003E3CCC" w:rsidRPr="003E3CCC">
        <w:rPr>
          <w:bCs/>
        </w:rPr>
        <w:t xml:space="preserve"> se </w:t>
      </w:r>
      <w:r w:rsidR="003E3CCC" w:rsidRPr="003E3CCC">
        <w:t xml:space="preserve">závěry z kulatého stolu a evaluačního dotazníku pro obor tanec, které obdržela oborová dvojice (včetně verze pro veřejnost, která je určena i pro expertní hodnotitele). Obor se usnesl na minimálních výkonových ukazatelích pro celoroční činnost 10 repríz a 1 premiéra / 12 repríz bez premiéry </w:t>
      </w:r>
      <w:proofErr w:type="gramStart"/>
      <w:r w:rsidR="003E3CCC" w:rsidRPr="003E3CCC">
        <w:t>( z</w:t>
      </w:r>
      <w:proofErr w:type="gramEnd"/>
      <w:r w:rsidR="003E3CCC" w:rsidRPr="003E3CCC">
        <w:t xml:space="preserve"> toho vyplývá </w:t>
      </w:r>
      <w:proofErr w:type="spellStart"/>
      <w:r w:rsidR="003E3CCC" w:rsidRPr="003E3CCC">
        <w:t>prům</w:t>
      </w:r>
      <w:proofErr w:type="spellEnd"/>
      <w:r w:rsidR="003E3CCC" w:rsidRPr="003E3CCC">
        <w:t xml:space="preserve">. dotace cca 20.000 Kč / repríza), činnost min. 10 měsíců v roce, stálý produkční tým min. 2 osob, ve slovním hodnocení zástupci oboru preferují důraz na fair </w:t>
      </w:r>
      <w:proofErr w:type="spellStart"/>
      <w:r w:rsidR="003E3CCC" w:rsidRPr="003E3CCC">
        <w:t>pay</w:t>
      </w:r>
      <w:proofErr w:type="spellEnd"/>
      <w:r w:rsidR="003E3CCC" w:rsidRPr="003E3CCC">
        <w:t xml:space="preserve"> a vícezdrojové financování</w:t>
      </w:r>
    </w:p>
    <w:p w14:paraId="2D255A47" w14:textId="77777777" w:rsidR="002A5BA3" w:rsidRPr="00CF46B7" w:rsidRDefault="002A5BA3" w:rsidP="002A5BA3">
      <w:pPr>
        <w:tabs>
          <w:tab w:val="left" w:pos="2595"/>
        </w:tabs>
        <w:spacing w:line="276" w:lineRule="auto"/>
        <w:jc w:val="both"/>
        <w:rPr>
          <w:b/>
          <w:color w:val="000000" w:themeColor="text1"/>
        </w:rPr>
      </w:pPr>
    </w:p>
    <w:p w14:paraId="0D051603" w14:textId="45748E96" w:rsidR="002A5BA3" w:rsidRPr="00CF46B7" w:rsidRDefault="003E3CCC" w:rsidP="002A5BA3">
      <w:pPr>
        <w:tabs>
          <w:tab w:val="left" w:pos="2595"/>
        </w:tabs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="0045249E" w:rsidRPr="00CF46B7">
        <w:rPr>
          <w:b/>
          <w:color w:val="000000" w:themeColor="text1"/>
        </w:rPr>
        <w:t>/ Harmonogram dotačního řízení 202</w:t>
      </w:r>
      <w:r w:rsidR="00944BEE">
        <w:rPr>
          <w:b/>
          <w:color w:val="000000" w:themeColor="text1"/>
        </w:rPr>
        <w:t>5</w:t>
      </w:r>
      <w:r w:rsidR="0045249E" w:rsidRPr="00CF46B7">
        <w:rPr>
          <w:b/>
          <w:color w:val="000000" w:themeColor="text1"/>
        </w:rPr>
        <w:t xml:space="preserve"> a </w:t>
      </w:r>
      <w:r w:rsidR="00944BEE">
        <w:rPr>
          <w:b/>
          <w:color w:val="000000" w:themeColor="text1"/>
        </w:rPr>
        <w:t>s</w:t>
      </w:r>
      <w:r w:rsidR="002A5BA3" w:rsidRPr="00CF46B7">
        <w:rPr>
          <w:b/>
          <w:color w:val="000000" w:themeColor="text1"/>
        </w:rPr>
        <w:t>eznámení s novinkami v Programu podpory v oblasti kultury a umění pro jednoleté dotace v roce 202</w:t>
      </w:r>
      <w:r w:rsidR="00944BEE">
        <w:rPr>
          <w:b/>
          <w:color w:val="000000" w:themeColor="text1"/>
        </w:rPr>
        <w:t>5</w:t>
      </w:r>
      <w:r w:rsidR="002A5BA3" w:rsidRPr="00CF46B7">
        <w:rPr>
          <w:b/>
          <w:color w:val="000000" w:themeColor="text1"/>
        </w:rPr>
        <w:t xml:space="preserve"> a víceleté dotace na léta </w:t>
      </w:r>
      <w:proofErr w:type="gramStart"/>
      <w:r w:rsidR="002A5BA3" w:rsidRPr="00CF46B7">
        <w:rPr>
          <w:b/>
          <w:color w:val="000000" w:themeColor="text1"/>
        </w:rPr>
        <w:t>202</w:t>
      </w:r>
      <w:r w:rsidR="00944BEE">
        <w:rPr>
          <w:b/>
          <w:color w:val="000000" w:themeColor="text1"/>
        </w:rPr>
        <w:t>6</w:t>
      </w:r>
      <w:r w:rsidR="002A5BA3" w:rsidRPr="00CF46B7">
        <w:rPr>
          <w:b/>
          <w:color w:val="000000" w:themeColor="text1"/>
        </w:rPr>
        <w:t xml:space="preserve"> -202</w:t>
      </w:r>
      <w:r w:rsidR="00944BEE">
        <w:rPr>
          <w:b/>
          <w:color w:val="000000" w:themeColor="text1"/>
        </w:rPr>
        <w:t>9</w:t>
      </w:r>
      <w:proofErr w:type="gramEnd"/>
    </w:p>
    <w:p w14:paraId="172A17C1" w14:textId="77777777" w:rsidR="002A5BA3" w:rsidRPr="00CF46B7" w:rsidRDefault="002A5BA3" w:rsidP="002A5BA3">
      <w:pPr>
        <w:spacing w:line="276" w:lineRule="auto"/>
        <w:jc w:val="both"/>
      </w:pPr>
    </w:p>
    <w:p w14:paraId="44DE1676" w14:textId="713CDA03" w:rsidR="002A5BA3" w:rsidRPr="00CF46B7" w:rsidRDefault="00CF46B7" w:rsidP="002A5BA3">
      <w:pPr>
        <w:tabs>
          <w:tab w:val="left" w:pos="2595"/>
        </w:tabs>
        <w:spacing w:line="276" w:lineRule="auto"/>
        <w:jc w:val="both"/>
      </w:pPr>
      <w:r>
        <w:t>T</w:t>
      </w:r>
      <w:r w:rsidR="002A5BA3" w:rsidRPr="00CF46B7">
        <w:t xml:space="preserve">ajemnice DK Tamara Hegerová představila harmonogram dotačního řízení </w:t>
      </w:r>
      <w:r w:rsidR="00692337" w:rsidRPr="00CF46B7">
        <w:t>pro rok 202</w:t>
      </w:r>
      <w:r w:rsidR="00944BEE">
        <w:t xml:space="preserve">4. </w:t>
      </w:r>
      <w:r w:rsidR="00692337" w:rsidRPr="00CF46B7">
        <w:t>Druhé</w:t>
      </w:r>
      <w:r w:rsidR="00944BEE">
        <w:t xml:space="preserve"> </w:t>
      </w:r>
      <w:r w:rsidR="00692337" w:rsidRPr="00CF46B7">
        <w:t xml:space="preserve">jednání DK k 2. kolu hodnocení žádostí se uskuteční ve dnech </w:t>
      </w:r>
      <w:r w:rsidR="00944BEE" w:rsidRPr="00944BEE">
        <w:rPr>
          <w:b/>
          <w:bCs/>
        </w:rPr>
        <w:t>5</w:t>
      </w:r>
      <w:r w:rsidR="00692337" w:rsidRPr="00944BEE">
        <w:rPr>
          <w:b/>
          <w:bCs/>
        </w:rPr>
        <w:t xml:space="preserve">. – </w:t>
      </w:r>
      <w:r w:rsidR="00944BEE" w:rsidRPr="00944BEE">
        <w:rPr>
          <w:b/>
          <w:bCs/>
        </w:rPr>
        <w:t>7</w:t>
      </w:r>
      <w:r w:rsidR="00692337" w:rsidRPr="00944BEE">
        <w:rPr>
          <w:b/>
          <w:bCs/>
        </w:rPr>
        <w:t>. 11. 202</w:t>
      </w:r>
      <w:r w:rsidR="00944BEE" w:rsidRPr="00944BEE">
        <w:rPr>
          <w:b/>
          <w:bCs/>
        </w:rPr>
        <w:t>4</w:t>
      </w:r>
      <w:r w:rsidR="00692337" w:rsidRPr="00CF46B7">
        <w:t>. V poslední srpnovém týdnu proběhne školení k Modulu hodnocení pro externí hodnotitele i členy DK.</w:t>
      </w:r>
    </w:p>
    <w:p w14:paraId="1710946C" w14:textId="28DAF1DE" w:rsidR="002A5BA3" w:rsidRPr="00CF46B7" w:rsidRDefault="00944BEE" w:rsidP="002A5BA3">
      <w:pPr>
        <w:tabs>
          <w:tab w:val="left" w:pos="2595"/>
        </w:tabs>
        <w:spacing w:line="276" w:lineRule="auto"/>
        <w:jc w:val="both"/>
      </w:pPr>
      <w:r>
        <w:t xml:space="preserve">V </w:t>
      </w:r>
      <w:r w:rsidR="00692337" w:rsidRPr="00CF46B7">
        <w:t>Program</w:t>
      </w:r>
      <w:r>
        <w:t>u</w:t>
      </w:r>
      <w:r w:rsidR="00692337" w:rsidRPr="00CF46B7">
        <w:t xml:space="preserve"> podpory pro rok 202</w:t>
      </w:r>
      <w:r>
        <w:t>5 zůstává zachována</w:t>
      </w:r>
      <w:r w:rsidR="00692337" w:rsidRPr="00CF46B7">
        <w:t xml:space="preserve"> struktur</w:t>
      </w:r>
      <w:r>
        <w:t>a</w:t>
      </w:r>
      <w:r w:rsidR="00692337" w:rsidRPr="00CF46B7">
        <w:t xml:space="preserve"> jednotlivých Opatření. Víceleté dotace jsou sloučené do Opatření I., </w:t>
      </w:r>
      <w:r w:rsidR="00A2701A" w:rsidRPr="00CF46B7">
        <w:t xml:space="preserve">kategorie 1.A je pro víceleté projekty všech oborů, kategorie 1.B </w:t>
      </w:r>
      <w:r w:rsidR="00CF46B7">
        <w:t>pro</w:t>
      </w:r>
      <w:r w:rsidR="00A2701A" w:rsidRPr="00CF46B7">
        <w:t xml:space="preserve"> </w:t>
      </w:r>
      <w:r w:rsidR="002A5BA3" w:rsidRPr="00CF46B7">
        <w:t>Profilové festivaly</w:t>
      </w:r>
      <w:r w:rsidR="00A2701A" w:rsidRPr="00CF46B7">
        <w:t>. Zůstává 7 Opatření, 1 pro víceleté dotace, 6 pro jednoleté.</w:t>
      </w:r>
      <w:r w:rsidR="002A5BA3" w:rsidRPr="00CF46B7">
        <w:t xml:space="preserve"> Obory zůstávají zachované. </w:t>
      </w:r>
      <w:r w:rsidR="00A2701A" w:rsidRPr="00CF46B7">
        <w:t xml:space="preserve">Opatření II. </w:t>
      </w:r>
      <w:r w:rsidR="00CF46B7">
        <w:t>j</w:t>
      </w:r>
      <w:r w:rsidR="00A2701A" w:rsidRPr="00CF46B7">
        <w:t xml:space="preserve">e určeno pro celoroční činnost kulturních zařízení, Opatření III. pro celoroční činnost uměleckých souborů bez stálého prostoru, Opatření IV. pro kratší projekty, Opatření V. pro komunitní projekty a neprofesionální aktivity, Opatření VI. </w:t>
      </w:r>
      <w:r w:rsidR="00CF46B7">
        <w:t>j</w:t>
      </w:r>
      <w:r w:rsidR="00A2701A" w:rsidRPr="00CF46B7">
        <w:t xml:space="preserve">sou investiční dotace a </w:t>
      </w:r>
      <w:r w:rsidR="00E043A9">
        <w:t>O</w:t>
      </w:r>
      <w:r w:rsidR="00A2701A" w:rsidRPr="00CF46B7">
        <w:t>patření VII. nepodléhá hodnocení DK, jedná se o podporu kulturní infrastruktury v Praze.</w:t>
      </w:r>
    </w:p>
    <w:p w14:paraId="721AA7C2" w14:textId="58C2323F" w:rsidR="002A5BA3" w:rsidRPr="00CF46B7" w:rsidRDefault="002A5BA3" w:rsidP="002A5BA3">
      <w:pPr>
        <w:tabs>
          <w:tab w:val="left" w:pos="2595"/>
        </w:tabs>
        <w:spacing w:line="276" w:lineRule="auto"/>
        <w:jc w:val="both"/>
      </w:pPr>
      <w:r w:rsidRPr="00CF46B7">
        <w:t xml:space="preserve">Předpokládaný celkový objem finančních prostředků je </w:t>
      </w:r>
      <w:r w:rsidR="00A2701A" w:rsidRPr="00CF46B7">
        <w:t>40</w:t>
      </w:r>
      <w:r w:rsidR="00944BEE">
        <w:t>8</w:t>
      </w:r>
      <w:r w:rsidRPr="00CF46B7">
        <w:t>.000.000 Kč, víceletými dotacemi z předešlých let je vázáno 2</w:t>
      </w:r>
      <w:r w:rsidR="003E3CCC">
        <w:t>80</w:t>
      </w:r>
      <w:r w:rsidRPr="00CF46B7">
        <w:t>.</w:t>
      </w:r>
      <w:r w:rsidR="003E3CCC">
        <w:t>23</w:t>
      </w:r>
      <w:r w:rsidR="00A2701A" w:rsidRPr="00CF46B7">
        <w:t>0</w:t>
      </w:r>
      <w:r w:rsidRPr="00CF46B7">
        <w:t xml:space="preserve">.000 Kč, na jednoleté dotace zbývá </w:t>
      </w:r>
      <w:r w:rsidR="00A2701A" w:rsidRPr="00CF46B7">
        <w:t>12</w:t>
      </w:r>
      <w:r w:rsidR="00944BEE">
        <w:t>7</w:t>
      </w:r>
      <w:r w:rsidRPr="00CF46B7">
        <w:t>.</w:t>
      </w:r>
      <w:r w:rsidR="00944BEE">
        <w:t>77</w:t>
      </w:r>
      <w:r w:rsidR="00A2701A" w:rsidRPr="00CF46B7">
        <w:t>0</w:t>
      </w:r>
      <w:r w:rsidRPr="00CF46B7">
        <w:t>.000 Kč.</w:t>
      </w:r>
    </w:p>
    <w:p w14:paraId="03A2A3FC" w14:textId="4619D4D5" w:rsidR="002A5BA3" w:rsidRPr="00CF46B7" w:rsidRDefault="002A5BA3" w:rsidP="002A5BA3">
      <w:pPr>
        <w:tabs>
          <w:tab w:val="left" w:pos="2595"/>
        </w:tabs>
        <w:spacing w:line="276" w:lineRule="auto"/>
        <w:jc w:val="both"/>
      </w:pPr>
      <w:r w:rsidRPr="00CF46B7">
        <w:t>Hodnocení žádostí zůstává stejné, v 1. kole hodnotí oborová dvojice a 3 expertní hodnotitelé dle kritérií uvedených ve Formuláři hodnocení</w:t>
      </w:r>
      <w:r w:rsidR="00A2701A" w:rsidRPr="00CF46B7">
        <w:t xml:space="preserve"> dotací</w:t>
      </w:r>
      <w:r w:rsidRPr="00CF46B7">
        <w:t xml:space="preserve">, ve 2. kole hodnocení hodnotí celá DK. </w:t>
      </w:r>
      <w:r w:rsidRPr="00CF46B7">
        <w:lastRenderedPageBreak/>
        <w:t>Minimální bodová hranice pro poskytnutí dotace je v</w:t>
      </w:r>
      <w:r w:rsidR="003E3CCC">
        <w:t>e všech Op</w:t>
      </w:r>
      <w:r w:rsidRPr="00CF46B7">
        <w:t>atření</w:t>
      </w:r>
      <w:r w:rsidR="003E3CCC">
        <w:t>ch je</w:t>
      </w:r>
      <w:r w:rsidRPr="00CF46B7">
        <w:t xml:space="preserve"> 75 bodů</w:t>
      </w:r>
      <w:r w:rsidR="003E3CCC">
        <w:t>.</w:t>
      </w:r>
      <w:r w:rsidRPr="00CF46B7">
        <w:t xml:space="preserve"> Pokud žádost obdrží v kterémkoli kritériu 0–6 bodů, bude navržena k neposkytnutí dotace, hodnota bude průměrem od všech 5 hodnotitelů z 1. kola. Žádostem, které obdrží 95 bodů a více může být dotace snížena </w:t>
      </w:r>
      <w:r w:rsidR="00A2701A" w:rsidRPr="00CF46B7">
        <w:t>max.</w:t>
      </w:r>
      <w:r w:rsidRPr="00CF46B7">
        <w:t xml:space="preserve"> na 50 % požadované částky, u všech žádostí, které obdrží </w:t>
      </w:r>
      <w:proofErr w:type="gramStart"/>
      <w:r w:rsidRPr="00CF46B7">
        <w:t>85 – 94</w:t>
      </w:r>
      <w:proofErr w:type="gramEnd"/>
      <w:r w:rsidRPr="00CF46B7">
        <w:t xml:space="preserve"> bodů může být dotace snížena </w:t>
      </w:r>
      <w:r w:rsidR="00A2701A" w:rsidRPr="00CF46B7">
        <w:t>max.</w:t>
      </w:r>
      <w:r w:rsidRPr="00CF46B7">
        <w:t xml:space="preserve"> na 30 % požadované částky. </w:t>
      </w:r>
      <w:r w:rsidR="00CF46B7">
        <w:t xml:space="preserve">Pokud žádost v jakémkoli kritériu obdrží průměrné hodnocení </w:t>
      </w:r>
      <w:proofErr w:type="gramStart"/>
      <w:r w:rsidR="00CF46B7">
        <w:t>7 – 12</w:t>
      </w:r>
      <w:proofErr w:type="gramEnd"/>
      <w:r w:rsidR="00CF46B7">
        <w:t xml:space="preserve"> bodů, nemusí být tato procentuální hranice dodržena.</w:t>
      </w:r>
    </w:p>
    <w:p w14:paraId="11799A3F" w14:textId="77777777" w:rsidR="002A5BA3" w:rsidRPr="00CF46B7" w:rsidRDefault="002A5BA3" w:rsidP="002A5BA3">
      <w:pPr>
        <w:tabs>
          <w:tab w:val="left" w:pos="2595"/>
        </w:tabs>
        <w:spacing w:line="276" w:lineRule="auto"/>
        <w:jc w:val="both"/>
      </w:pPr>
      <w:r w:rsidRPr="00CF46B7">
        <w:t xml:space="preserve">Obě kola hodnocení jsou neveřejná. </w:t>
      </w:r>
    </w:p>
    <w:p w14:paraId="011F0FFF" w14:textId="7BD34586" w:rsidR="002A5BA3" w:rsidRPr="00CF46B7" w:rsidRDefault="003E3CCC" w:rsidP="002A5BA3">
      <w:pPr>
        <w:tabs>
          <w:tab w:val="left" w:pos="2595"/>
        </w:tabs>
        <w:spacing w:line="276" w:lineRule="auto"/>
        <w:jc w:val="both"/>
      </w:pPr>
      <w:r>
        <w:t>Pro letošní dotační řízení vznikl nový h</w:t>
      </w:r>
      <w:r w:rsidR="002A5BA3" w:rsidRPr="00CF46B7">
        <w:t xml:space="preserve">odnotící formulář </w:t>
      </w:r>
      <w:r>
        <w:t>pro Opatření VI.</w:t>
      </w:r>
      <w:r w:rsidR="00A2701A" w:rsidRPr="00CF46B7">
        <w:t>, veškeré úpravy budou zaneseny do Modulu hodnocení.</w:t>
      </w:r>
    </w:p>
    <w:p w14:paraId="1FB56A74" w14:textId="77777777" w:rsidR="002A5BA3" w:rsidRPr="00CF46B7" w:rsidRDefault="002A5BA3" w:rsidP="002A5BA3">
      <w:pPr>
        <w:tabs>
          <w:tab w:val="left" w:pos="2595"/>
        </w:tabs>
        <w:spacing w:line="276" w:lineRule="auto"/>
        <w:jc w:val="both"/>
      </w:pPr>
    </w:p>
    <w:p w14:paraId="0D26B569" w14:textId="64EC0D45" w:rsidR="002A5BA3" w:rsidRPr="00CF46B7" w:rsidRDefault="003E3CCC" w:rsidP="002A5BA3">
      <w:pPr>
        <w:tabs>
          <w:tab w:val="left" w:pos="2595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5</w:t>
      </w:r>
      <w:r w:rsidR="002A5BA3" w:rsidRPr="00CF46B7">
        <w:rPr>
          <w:b/>
          <w:bCs/>
        </w:rPr>
        <w:t>/ S</w:t>
      </w:r>
      <w:r>
        <w:rPr>
          <w:b/>
          <w:bCs/>
        </w:rPr>
        <w:t>chválení s</w:t>
      </w:r>
      <w:r w:rsidR="002A5BA3" w:rsidRPr="00CF46B7">
        <w:rPr>
          <w:b/>
          <w:bCs/>
        </w:rPr>
        <w:t>eznam</w:t>
      </w:r>
      <w:r>
        <w:rPr>
          <w:b/>
          <w:bCs/>
        </w:rPr>
        <w:t>u</w:t>
      </w:r>
      <w:r w:rsidR="002A5BA3" w:rsidRPr="00CF46B7">
        <w:rPr>
          <w:b/>
          <w:bCs/>
        </w:rPr>
        <w:t xml:space="preserve"> expertních hodnotitelů</w:t>
      </w:r>
    </w:p>
    <w:p w14:paraId="3B82A8EC" w14:textId="2286736B" w:rsidR="00B52EF6" w:rsidRDefault="00CF46B7" w:rsidP="00B52EF6">
      <w:pPr>
        <w:rPr>
          <w:b/>
          <w:bCs/>
          <w:color w:val="000000"/>
        </w:rPr>
      </w:pPr>
      <w:r>
        <w:t>Tajemnice DK představila</w:t>
      </w:r>
      <w:r w:rsidR="00973E81" w:rsidRPr="00CF46B7">
        <w:t xml:space="preserve"> kompletní seznam externích hodnotitelů pro 1. kolo hodnocení žádostí. Oborové dvojice krátce uvedl</w:t>
      </w:r>
      <w:r>
        <w:t>y</w:t>
      </w:r>
      <w:r w:rsidR="00973E81" w:rsidRPr="00CF46B7">
        <w:t xml:space="preserve"> změny ve složení externích hodnotitelů pro jednotlivé obory </w:t>
      </w:r>
      <w:r>
        <w:t xml:space="preserve">oproti loňskému roku </w:t>
      </w:r>
      <w:r w:rsidR="00973E81" w:rsidRPr="00CF46B7">
        <w:t>a představil</w:t>
      </w:r>
      <w:r>
        <w:t>y</w:t>
      </w:r>
      <w:r w:rsidR="00973E81" w:rsidRPr="00CF46B7">
        <w:t xml:space="preserve"> </w:t>
      </w:r>
      <w:r>
        <w:t xml:space="preserve">návrh </w:t>
      </w:r>
      <w:r w:rsidR="00B52EF6">
        <w:t xml:space="preserve">šesti </w:t>
      </w:r>
      <w:r w:rsidR="00973E81" w:rsidRPr="00CF46B7">
        <w:t>nov</w:t>
      </w:r>
      <w:r>
        <w:t>ých</w:t>
      </w:r>
      <w:r w:rsidR="00973E81" w:rsidRPr="00CF46B7">
        <w:t xml:space="preserve"> </w:t>
      </w:r>
      <w:r w:rsidR="00B52EF6">
        <w:t xml:space="preserve">expertních </w:t>
      </w:r>
      <w:r>
        <w:t>hodnotitelů</w:t>
      </w:r>
      <w:r w:rsidR="00973E81" w:rsidRPr="00CF46B7">
        <w:t>.</w:t>
      </w:r>
      <w:r w:rsidR="00B52EF6" w:rsidRPr="00B52EF6">
        <w:rPr>
          <w:b/>
          <w:bCs/>
          <w:color w:val="000000"/>
        </w:rPr>
        <w:t xml:space="preserve"> </w:t>
      </w:r>
    </w:p>
    <w:p w14:paraId="7362EECA" w14:textId="1D0F53E6" w:rsidR="00B52EF6" w:rsidRDefault="00B52EF6" w:rsidP="00B52EF6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Vizuální umění </w:t>
      </w:r>
    </w:p>
    <w:p w14:paraId="356FA841" w14:textId="208E45D6" w:rsidR="00B52EF6" w:rsidRDefault="00973A3E" w:rsidP="00B52EF6">
      <w:r>
        <w:rPr>
          <w:b/>
          <w:bCs/>
          <w:color w:val="000000"/>
        </w:rPr>
        <w:t xml:space="preserve">Mgr. </w:t>
      </w:r>
      <w:r w:rsidR="00B52EF6">
        <w:rPr>
          <w:b/>
          <w:bCs/>
          <w:color w:val="000000"/>
        </w:rPr>
        <w:t xml:space="preserve">Irena </w:t>
      </w:r>
      <w:proofErr w:type="spellStart"/>
      <w:r w:rsidR="00B52EF6">
        <w:rPr>
          <w:b/>
          <w:bCs/>
          <w:color w:val="000000"/>
        </w:rPr>
        <w:t>Lehkoživová</w:t>
      </w:r>
      <w:proofErr w:type="spellEnd"/>
      <w:r>
        <w:rPr>
          <w:b/>
          <w:bCs/>
          <w:color w:val="000000"/>
        </w:rPr>
        <w:t>, PhD.</w:t>
      </w:r>
      <w:r w:rsidR="00B52EF6">
        <w:rPr>
          <w:b/>
          <w:bCs/>
          <w:color w:val="000000"/>
        </w:rPr>
        <w:t xml:space="preserve"> – </w:t>
      </w:r>
      <w:r w:rsidR="00B52EF6">
        <w:t xml:space="preserve">historička architektury. Pracuje v Archivu výtvarného umění a ve Výzkumném centru průmyslového dědictví FA ČVUT. Společně s Barborou Špičákovou založila v roce 2016 Galerii VI PER. Je </w:t>
      </w:r>
      <w:proofErr w:type="spellStart"/>
      <w:r w:rsidR="00B52EF6">
        <w:t>spolueditorkou</w:t>
      </w:r>
      <w:proofErr w:type="spellEnd"/>
      <w:r w:rsidR="00B52EF6">
        <w:t xml:space="preserve"> knih Zdenek </w:t>
      </w:r>
      <w:proofErr w:type="spellStart"/>
      <w:r w:rsidR="00B52EF6">
        <w:t>Seydl</w:t>
      </w:r>
      <w:proofErr w:type="spellEnd"/>
      <w:r w:rsidR="00B52EF6">
        <w:t xml:space="preserve"> a knihy (2015), </w:t>
      </w:r>
      <w:proofErr w:type="spellStart"/>
      <w:r w:rsidR="00B52EF6">
        <w:t>The</w:t>
      </w:r>
      <w:proofErr w:type="spellEnd"/>
      <w:r w:rsidR="00B52EF6">
        <w:t xml:space="preserve"> </w:t>
      </w:r>
      <w:proofErr w:type="spellStart"/>
      <w:r w:rsidR="00B52EF6">
        <w:t>Paneláks</w:t>
      </w:r>
      <w:proofErr w:type="spellEnd"/>
      <w:r w:rsidR="00B52EF6">
        <w:t xml:space="preserve">: </w:t>
      </w:r>
      <w:proofErr w:type="spellStart"/>
      <w:r w:rsidR="00B52EF6">
        <w:t>Twenty</w:t>
      </w:r>
      <w:proofErr w:type="spellEnd"/>
      <w:r w:rsidR="00B52EF6">
        <w:t xml:space="preserve"> </w:t>
      </w:r>
      <w:proofErr w:type="spellStart"/>
      <w:r w:rsidR="00B52EF6">
        <w:t>Five</w:t>
      </w:r>
      <w:proofErr w:type="spellEnd"/>
      <w:r w:rsidR="00B52EF6">
        <w:t xml:space="preserve"> </w:t>
      </w:r>
      <w:proofErr w:type="spellStart"/>
      <w:r w:rsidR="00B52EF6">
        <w:t>Housing</w:t>
      </w:r>
      <w:proofErr w:type="spellEnd"/>
      <w:r w:rsidR="00B52EF6">
        <w:t xml:space="preserve"> </w:t>
      </w:r>
      <w:proofErr w:type="spellStart"/>
      <w:r w:rsidR="00B52EF6">
        <w:t>Estates</w:t>
      </w:r>
      <w:proofErr w:type="spellEnd"/>
      <w:r w:rsidR="00B52EF6">
        <w:t xml:space="preserve"> in </w:t>
      </w:r>
      <w:proofErr w:type="spellStart"/>
      <w:r w:rsidR="00B52EF6">
        <w:t>the</w:t>
      </w:r>
      <w:proofErr w:type="spellEnd"/>
      <w:r w:rsidR="00B52EF6">
        <w:t xml:space="preserve"> Czech Republic (2018), Sídliště Ďáblice: Architektura pro lidi (2019) nebo Karel Prager a Družstvo pro výstavbu rodinných domků s ateliéry (2020), Osvěta, kultura, zábava: Kulturní domy v Československu (2023) a dalších.</w:t>
      </w:r>
    </w:p>
    <w:p w14:paraId="17969C9C" w14:textId="50BD71DF" w:rsidR="00B52EF6" w:rsidRDefault="00973A3E" w:rsidP="00B52EF6">
      <w:r>
        <w:rPr>
          <w:b/>
          <w:bCs/>
        </w:rPr>
        <w:t xml:space="preserve">Mgr. </w:t>
      </w:r>
      <w:r w:rsidR="00B52EF6" w:rsidRPr="00833EA2">
        <w:rPr>
          <w:b/>
          <w:bCs/>
        </w:rPr>
        <w:t xml:space="preserve">David </w:t>
      </w:r>
      <w:proofErr w:type="gramStart"/>
      <w:r w:rsidR="00B52EF6" w:rsidRPr="00833EA2">
        <w:rPr>
          <w:b/>
          <w:bCs/>
        </w:rPr>
        <w:t>Bláha</w:t>
      </w:r>
      <w:r w:rsidR="00B52EF6" w:rsidRPr="00833EA2">
        <w:t xml:space="preserve"> - vystudoval</w:t>
      </w:r>
      <w:proofErr w:type="gramEnd"/>
      <w:r w:rsidR="00B52EF6" w:rsidRPr="00833EA2">
        <w:t xml:space="preserve"> dějiny umění na VŠUP v Praze a pokračuje v doktorském studiu tamtéž. Dlouhodobě se zajímá o umění ve veřejném prostoru a kulturní paměť, věnuje se také dějinám a teorii fotografie. Publikuje texty o výtvarném umění a nárazově se podílí na přípravě výstav.</w:t>
      </w:r>
    </w:p>
    <w:p w14:paraId="0802BBBB" w14:textId="77C8EF83" w:rsidR="00B52EF6" w:rsidRPr="00FD4DB6" w:rsidRDefault="00973A3E" w:rsidP="00B52EF6">
      <w:r>
        <w:rPr>
          <w:b/>
          <w:bCs/>
        </w:rPr>
        <w:t xml:space="preserve">Mgr. </w:t>
      </w:r>
      <w:r w:rsidR="00B52EF6" w:rsidRPr="00FD4DB6">
        <w:rPr>
          <w:b/>
          <w:bCs/>
        </w:rPr>
        <w:t>Maria Černá Pivovarová</w:t>
      </w:r>
      <w:r>
        <w:rPr>
          <w:b/>
          <w:bCs/>
        </w:rPr>
        <w:t>, PhD.</w:t>
      </w:r>
      <w:r w:rsidR="00B52EF6" w:rsidRPr="00FD4DB6">
        <w:t xml:space="preserve"> – historička umění</w:t>
      </w:r>
      <w:r w:rsidR="00C668DE">
        <w:t>,</w:t>
      </w:r>
      <w:r w:rsidR="00B52EF6" w:rsidRPr="00FD4DB6">
        <w:t xml:space="preserve"> kurátorka a publicistka. </w:t>
      </w:r>
      <w:r w:rsidR="00B52EF6" w:rsidRPr="00FD4DB6">
        <w:rPr>
          <w:spacing w:val="3"/>
          <w:shd w:val="clear" w:color="auto" w:fill="FFFFFF"/>
        </w:rPr>
        <w:t xml:space="preserve">Věnovala se starým mistrům holandského umění 17. století. Jako kurátorka roky spolupracuje se svým otcem malířem Viktorem </w:t>
      </w:r>
      <w:proofErr w:type="spellStart"/>
      <w:r w:rsidR="00B52EF6" w:rsidRPr="00FD4DB6">
        <w:rPr>
          <w:spacing w:val="3"/>
          <w:shd w:val="clear" w:color="auto" w:fill="FFFFFF"/>
        </w:rPr>
        <w:t>Pivovarovem</w:t>
      </w:r>
      <w:proofErr w:type="spellEnd"/>
      <w:r w:rsidR="00B52EF6" w:rsidRPr="00FD4DB6">
        <w:rPr>
          <w:spacing w:val="3"/>
          <w:shd w:val="clear" w:color="auto" w:fill="FFFFFF"/>
        </w:rPr>
        <w:t xml:space="preserve">, o kterém napsala monografii </w:t>
      </w:r>
      <w:proofErr w:type="gramStart"/>
      <w:r w:rsidR="00B52EF6" w:rsidRPr="00FD4DB6">
        <w:rPr>
          <w:spacing w:val="3"/>
          <w:shd w:val="clear" w:color="auto" w:fill="FFFFFF"/>
        </w:rPr>
        <w:t>Ach!,</w:t>
      </w:r>
      <w:proofErr w:type="gramEnd"/>
      <w:r w:rsidR="00B52EF6" w:rsidRPr="00FD4DB6">
        <w:rPr>
          <w:spacing w:val="3"/>
          <w:shd w:val="clear" w:color="auto" w:fill="FFFFFF"/>
        </w:rPr>
        <w:t xml:space="preserve"> kterou ocenila Česká akademie vizuálního umění.</w:t>
      </w:r>
    </w:p>
    <w:p w14:paraId="09143088" w14:textId="4EC60088" w:rsidR="00B52EF6" w:rsidRPr="00B52EF6" w:rsidRDefault="00B52EF6" w:rsidP="00B52EF6">
      <w:r w:rsidRPr="00B52EF6">
        <w:rPr>
          <w:b/>
          <w:bCs/>
        </w:rPr>
        <w:t>Tanec</w:t>
      </w:r>
      <w:r w:rsidRPr="00B52EF6">
        <w:t xml:space="preserve"> </w:t>
      </w:r>
    </w:p>
    <w:p w14:paraId="7B66EEF3" w14:textId="2BEEAB43" w:rsidR="00B52EF6" w:rsidRPr="00B52EF6" w:rsidRDefault="00973A3E" w:rsidP="00B52EF6">
      <w:r>
        <w:rPr>
          <w:b/>
          <w:bCs/>
        </w:rPr>
        <w:t xml:space="preserve">MgA. </w:t>
      </w:r>
      <w:r w:rsidR="00B52EF6" w:rsidRPr="00B52EF6">
        <w:rPr>
          <w:b/>
          <w:bCs/>
        </w:rPr>
        <w:t xml:space="preserve">Marie </w:t>
      </w:r>
      <w:proofErr w:type="gramStart"/>
      <w:r w:rsidR="00B52EF6" w:rsidRPr="00B52EF6">
        <w:rPr>
          <w:b/>
          <w:bCs/>
        </w:rPr>
        <w:t>Kašparová</w:t>
      </w:r>
      <w:r w:rsidR="00B52EF6" w:rsidRPr="00B52EF6">
        <w:t xml:space="preserve"> - ředitelka</w:t>
      </w:r>
      <w:proofErr w:type="gramEnd"/>
      <w:r w:rsidR="00B52EF6" w:rsidRPr="00B52EF6">
        <w:t xml:space="preserve"> příspěvkové organizace Kultura Praha 3, kt</w:t>
      </w:r>
      <w:r w:rsidR="00AD6818">
        <w:t>e</w:t>
      </w:r>
      <w:r w:rsidR="00B52EF6" w:rsidRPr="00B52EF6">
        <w:t>rá se zaměřuje na různé cílové skupiny, milovníky klasiky, soudobé vážné hudby, klubové scény, ale i na seniory a další.</w:t>
      </w:r>
    </w:p>
    <w:p w14:paraId="65B5AA4F" w14:textId="3E2EE243" w:rsidR="00B52EF6" w:rsidRPr="00B52EF6" w:rsidRDefault="00973A3E" w:rsidP="00B52EF6">
      <w:r>
        <w:rPr>
          <w:b/>
          <w:bCs/>
        </w:rPr>
        <w:t xml:space="preserve">Mgr. </w:t>
      </w:r>
      <w:r w:rsidR="00B52EF6" w:rsidRPr="00B52EF6">
        <w:rPr>
          <w:b/>
          <w:bCs/>
        </w:rPr>
        <w:t>Jitka Pavlišová</w:t>
      </w:r>
      <w:r>
        <w:rPr>
          <w:b/>
          <w:bCs/>
        </w:rPr>
        <w:t>, PhD.</w:t>
      </w:r>
      <w:r w:rsidR="00B52EF6" w:rsidRPr="00B52EF6">
        <w:t xml:space="preserve"> - </w:t>
      </w:r>
      <w:r w:rsidR="00B52EF6" w:rsidRPr="00B52EF6">
        <w:rPr>
          <w:spacing w:val="5"/>
          <w:shd w:val="clear" w:color="auto" w:fill="FFFFFF"/>
        </w:rPr>
        <w:t xml:space="preserve">studovala obor divadelní věda na Masarykově univerzitě.  Od roku 2013 působí na Katedře divadelních a filmových studií Univerzity Palackého v Olomouci, v letech 2013–2015 </w:t>
      </w:r>
      <w:r w:rsidR="00AD6818">
        <w:rPr>
          <w:spacing w:val="5"/>
          <w:shd w:val="clear" w:color="auto" w:fill="FFFFFF"/>
        </w:rPr>
        <w:t xml:space="preserve">působila </w:t>
      </w:r>
      <w:r w:rsidR="00B52EF6" w:rsidRPr="00B52EF6">
        <w:rPr>
          <w:spacing w:val="5"/>
          <w:shd w:val="clear" w:color="auto" w:fill="FFFFFF"/>
        </w:rPr>
        <w:t xml:space="preserve">jako vědeckovýzkumný pracovník v rámci </w:t>
      </w:r>
      <w:proofErr w:type="spellStart"/>
      <w:r w:rsidR="00B52EF6" w:rsidRPr="00B52EF6">
        <w:rPr>
          <w:spacing w:val="5"/>
          <w:shd w:val="clear" w:color="auto" w:fill="FFFFFF"/>
        </w:rPr>
        <w:t>postdoktorského</w:t>
      </w:r>
      <w:proofErr w:type="spellEnd"/>
      <w:r w:rsidR="00B52EF6" w:rsidRPr="00B52EF6">
        <w:rPr>
          <w:spacing w:val="5"/>
          <w:shd w:val="clear" w:color="auto" w:fill="FFFFFF"/>
        </w:rPr>
        <w:t xml:space="preserve"> projektu POST-UP</w:t>
      </w:r>
      <w:r w:rsidR="00944BEE">
        <w:rPr>
          <w:spacing w:val="5"/>
          <w:shd w:val="clear" w:color="auto" w:fill="FFFFFF"/>
        </w:rPr>
        <w:t xml:space="preserve">, </w:t>
      </w:r>
      <w:r w:rsidR="00B52EF6" w:rsidRPr="00B52EF6">
        <w:rPr>
          <w:spacing w:val="5"/>
          <w:shd w:val="clear" w:color="auto" w:fill="FFFFFF"/>
        </w:rPr>
        <w:t xml:space="preserve">od roku 2015 jako odborná asistentka se zaměřením na </w:t>
      </w:r>
      <w:r w:rsidR="00944BEE">
        <w:rPr>
          <w:spacing w:val="5"/>
          <w:shd w:val="clear" w:color="auto" w:fill="FFFFFF"/>
        </w:rPr>
        <w:t>n</w:t>
      </w:r>
      <w:r w:rsidR="00B52EF6" w:rsidRPr="00B52EF6">
        <w:rPr>
          <w:spacing w:val="5"/>
          <w:shd w:val="clear" w:color="auto" w:fill="FFFFFF"/>
        </w:rPr>
        <w:t xml:space="preserve">ěmeckojazyčné divadlo, současný tanec a performance a </w:t>
      </w:r>
      <w:proofErr w:type="spellStart"/>
      <w:r w:rsidR="00B52EF6" w:rsidRPr="00B52EF6">
        <w:rPr>
          <w:spacing w:val="5"/>
          <w:shd w:val="clear" w:color="auto" w:fill="FFFFFF"/>
        </w:rPr>
        <w:t>interkulturální</w:t>
      </w:r>
      <w:proofErr w:type="spellEnd"/>
      <w:r w:rsidR="00B52EF6" w:rsidRPr="00B52EF6">
        <w:rPr>
          <w:spacing w:val="5"/>
          <w:shd w:val="clear" w:color="auto" w:fill="FFFFFF"/>
        </w:rPr>
        <w:t xml:space="preserve"> projevy v tanci.</w:t>
      </w:r>
    </w:p>
    <w:p w14:paraId="39D3287D" w14:textId="30F3CC58" w:rsidR="00B52EF6" w:rsidRPr="00944BEE" w:rsidRDefault="00B52EF6" w:rsidP="00B52EF6">
      <w:pPr>
        <w:rPr>
          <w:b/>
          <w:bCs/>
        </w:rPr>
      </w:pPr>
      <w:r w:rsidRPr="00944BEE">
        <w:rPr>
          <w:b/>
          <w:bCs/>
        </w:rPr>
        <w:t>Profilové festivaly</w:t>
      </w:r>
    </w:p>
    <w:p w14:paraId="13F31002" w14:textId="2C274005" w:rsidR="00944BEE" w:rsidRPr="00944BEE" w:rsidRDefault="00973A3E" w:rsidP="00B52EF6">
      <w:r>
        <w:rPr>
          <w:b/>
          <w:bCs/>
        </w:rPr>
        <w:t xml:space="preserve">MgA. </w:t>
      </w:r>
      <w:r w:rsidR="00944BEE" w:rsidRPr="00944BEE">
        <w:rPr>
          <w:b/>
          <w:bCs/>
        </w:rPr>
        <w:t>David Mareček</w:t>
      </w:r>
      <w:r>
        <w:rPr>
          <w:b/>
          <w:bCs/>
        </w:rPr>
        <w:t>, PhD.</w:t>
      </w:r>
      <w:r w:rsidR="00944BEE">
        <w:rPr>
          <w:b/>
          <w:bCs/>
        </w:rPr>
        <w:t xml:space="preserve"> </w:t>
      </w:r>
      <w:proofErr w:type="gramStart"/>
      <w:r w:rsidR="00944BEE" w:rsidRPr="00944BEE">
        <w:t xml:space="preserve">- </w:t>
      </w:r>
      <w:r w:rsidR="00944BEE" w:rsidRPr="00944BEE">
        <w:rPr>
          <w:shd w:val="clear" w:color="auto" w:fill="FFFFFF"/>
        </w:rPr>
        <w:t>hudební</w:t>
      </w:r>
      <w:proofErr w:type="gramEnd"/>
      <w:r w:rsidR="00944BEE" w:rsidRPr="00944BEE">
        <w:rPr>
          <w:shd w:val="clear" w:color="auto" w:fill="FFFFFF"/>
        </w:rPr>
        <w:t xml:space="preserve"> pedagog a manažer, od února 2011 generální ředitel </w:t>
      </w:r>
      <w:hyperlink r:id="rId7" w:tooltip="Česká filharmonie" w:history="1">
        <w:r w:rsidR="00944BEE" w:rsidRPr="00944BEE">
          <w:rPr>
            <w:rStyle w:val="Hypertextovodkaz"/>
            <w:color w:val="auto"/>
            <w:u w:val="none"/>
            <w:shd w:val="clear" w:color="auto" w:fill="FFFFFF"/>
          </w:rPr>
          <w:t>České filharmonie</w:t>
        </w:r>
      </w:hyperlink>
      <w:r w:rsidR="00944BEE" w:rsidRPr="00944BEE">
        <w:rPr>
          <w:shd w:val="clear" w:color="auto" w:fill="FFFFFF"/>
        </w:rPr>
        <w:t>.</w:t>
      </w:r>
    </w:p>
    <w:p w14:paraId="307F1EA6" w14:textId="74C5033F" w:rsidR="002A5BA3" w:rsidRPr="00944BEE" w:rsidRDefault="002A5BA3" w:rsidP="002A5BA3">
      <w:pPr>
        <w:tabs>
          <w:tab w:val="left" w:pos="2595"/>
        </w:tabs>
        <w:spacing w:line="276" w:lineRule="auto"/>
        <w:jc w:val="both"/>
      </w:pPr>
    </w:p>
    <w:p w14:paraId="17C7997B" w14:textId="78102FD0" w:rsidR="002A5BA3" w:rsidRPr="00CF46B7" w:rsidRDefault="002A5BA3" w:rsidP="002A5BA3">
      <w:pPr>
        <w:tabs>
          <w:tab w:val="left" w:pos="2595"/>
        </w:tabs>
        <w:spacing w:line="276" w:lineRule="auto"/>
        <w:jc w:val="both"/>
        <w:rPr>
          <w:b/>
          <w:bCs/>
        </w:rPr>
      </w:pPr>
      <w:r w:rsidRPr="00CF46B7">
        <w:rPr>
          <w:b/>
          <w:bCs/>
        </w:rPr>
        <w:t>Usnesení:</w:t>
      </w:r>
    </w:p>
    <w:p w14:paraId="5F57BFA0" w14:textId="2E907312" w:rsidR="002A5BA3" w:rsidRPr="00CF46B7" w:rsidRDefault="002A5BA3" w:rsidP="002A5BA3">
      <w:pPr>
        <w:tabs>
          <w:tab w:val="left" w:pos="2595"/>
        </w:tabs>
        <w:spacing w:line="276" w:lineRule="auto"/>
        <w:jc w:val="both"/>
      </w:pPr>
      <w:r w:rsidRPr="00CF46B7">
        <w:t xml:space="preserve">Dotační komise se shodla na návrhu seznamu expertních hodnotitelů, který doporučuje řediteli </w:t>
      </w:r>
      <w:r w:rsidR="00973E81" w:rsidRPr="00CF46B7">
        <w:t>o</w:t>
      </w:r>
      <w:r w:rsidRPr="00CF46B7">
        <w:t>dboru KUC</w:t>
      </w:r>
      <w:r w:rsidR="00973E81" w:rsidRPr="00CF46B7">
        <w:t xml:space="preserve"> MHMP</w:t>
      </w:r>
      <w:r w:rsidRPr="00CF46B7">
        <w:t xml:space="preserve"> ke schválení.  </w:t>
      </w:r>
    </w:p>
    <w:p w14:paraId="445F42F4" w14:textId="3CEC01C7" w:rsidR="002A5BA3" w:rsidRPr="00CF46B7" w:rsidRDefault="002A5BA3" w:rsidP="002A5BA3">
      <w:pPr>
        <w:tabs>
          <w:tab w:val="left" w:pos="2595"/>
        </w:tabs>
        <w:spacing w:line="276" w:lineRule="auto"/>
        <w:jc w:val="both"/>
      </w:pPr>
      <w:r w:rsidRPr="00CF46B7">
        <w:lastRenderedPageBreak/>
        <w:t>Usnesení bylo schváleno jednomyslně: 1</w:t>
      </w:r>
      <w:r w:rsidR="00B52EF6">
        <w:t>2</w:t>
      </w:r>
      <w:r w:rsidRPr="00CF46B7">
        <w:t xml:space="preserve"> PRO </w:t>
      </w:r>
      <w:r w:rsidR="00B52EF6">
        <w:t>/</w:t>
      </w:r>
      <w:r w:rsidRPr="00CF46B7">
        <w:t xml:space="preserve">0 PROTI / 0 ZDRŽEL SE   </w:t>
      </w:r>
    </w:p>
    <w:p w14:paraId="15985EB7" w14:textId="77777777" w:rsidR="002A5BA3" w:rsidRPr="00CF46B7" w:rsidRDefault="002A5BA3" w:rsidP="002A5BA3">
      <w:pPr>
        <w:tabs>
          <w:tab w:val="left" w:pos="2595"/>
        </w:tabs>
        <w:spacing w:line="276" w:lineRule="auto"/>
        <w:jc w:val="both"/>
      </w:pPr>
    </w:p>
    <w:p w14:paraId="3B0C3943" w14:textId="75FCEC3E" w:rsidR="00973E81" w:rsidRPr="00CF46B7" w:rsidRDefault="00973E81" w:rsidP="002A5BA3">
      <w:pPr>
        <w:tabs>
          <w:tab w:val="left" w:pos="2595"/>
        </w:tabs>
        <w:spacing w:line="276" w:lineRule="auto"/>
        <w:jc w:val="both"/>
        <w:rPr>
          <w:b/>
          <w:bCs/>
        </w:rPr>
      </w:pPr>
      <w:r w:rsidRPr="00CF46B7">
        <w:rPr>
          <w:b/>
          <w:bCs/>
        </w:rPr>
        <w:t>6/ Závěrečná diskuse</w:t>
      </w:r>
    </w:p>
    <w:p w14:paraId="636A64AA" w14:textId="15D4557F" w:rsidR="00EB119C" w:rsidRDefault="00EB119C" w:rsidP="002A5BA3">
      <w:pPr>
        <w:tabs>
          <w:tab w:val="left" w:pos="2595"/>
        </w:tabs>
        <w:spacing w:line="276" w:lineRule="auto"/>
        <w:jc w:val="both"/>
      </w:pPr>
      <w:r w:rsidRPr="00CF46B7">
        <w:t>Členové DK</w:t>
      </w:r>
      <w:r>
        <w:t xml:space="preserve"> požádali o úpravu modulu hodnocení – zavedení funkcionality vyhledávání všech podaných žádostí dle IČ nebo žadatele.</w:t>
      </w:r>
    </w:p>
    <w:p w14:paraId="6FF8467D" w14:textId="01EC6C9E" w:rsidR="007646C4" w:rsidRPr="00CF46B7" w:rsidRDefault="00973E81" w:rsidP="002A5BA3">
      <w:pPr>
        <w:tabs>
          <w:tab w:val="left" w:pos="2595"/>
        </w:tabs>
        <w:spacing w:line="276" w:lineRule="auto"/>
        <w:jc w:val="both"/>
      </w:pPr>
      <w:r w:rsidRPr="00CF46B7">
        <w:t>Členové DK byli upozorněni, aby včas nahlásili střet zájmů a hodnocení t</w:t>
      </w:r>
      <w:r w:rsidR="00CF46B7">
        <w:t>ěchto</w:t>
      </w:r>
      <w:r w:rsidRPr="00CF46B7">
        <w:t xml:space="preserve"> projektů mohlo být včas předáno jiným hodnotitelům.</w:t>
      </w:r>
    </w:p>
    <w:p w14:paraId="3BBD78FC" w14:textId="3AB5A043" w:rsidR="007646C4" w:rsidRPr="00CF46B7" w:rsidRDefault="007646C4" w:rsidP="002A5BA3">
      <w:pPr>
        <w:tabs>
          <w:tab w:val="left" w:pos="2595"/>
        </w:tabs>
        <w:spacing w:line="276" w:lineRule="auto"/>
        <w:jc w:val="both"/>
      </w:pPr>
      <w:r w:rsidRPr="00CF46B7">
        <w:t>Přeřazení žádosti do jiného Opatření je možné přes tajemnici DK</w:t>
      </w:r>
      <w:r w:rsidR="00EB119C">
        <w:t xml:space="preserve"> v rámci I. kola hodnocení</w:t>
      </w:r>
      <w:r w:rsidRPr="00CF46B7">
        <w:t>.</w:t>
      </w:r>
      <w:r w:rsidR="00973E81" w:rsidRPr="00CF46B7">
        <w:t xml:space="preserve"> </w:t>
      </w:r>
      <w:r w:rsidRPr="00CF46B7">
        <w:t xml:space="preserve">Při hodnocení je třeba dbát na to, zda projekt dodržuje kritéria pro příslušné </w:t>
      </w:r>
      <w:r w:rsidR="00EB119C">
        <w:t>O</w:t>
      </w:r>
      <w:r w:rsidRPr="00CF46B7">
        <w:t>patření.</w:t>
      </w:r>
    </w:p>
    <w:p w14:paraId="05133D78" w14:textId="77777777" w:rsidR="002A5BA3" w:rsidRPr="00CF46B7" w:rsidRDefault="002A5BA3" w:rsidP="002A5BA3">
      <w:pPr>
        <w:tabs>
          <w:tab w:val="left" w:pos="2595"/>
        </w:tabs>
        <w:spacing w:line="276" w:lineRule="auto"/>
        <w:jc w:val="both"/>
      </w:pPr>
    </w:p>
    <w:p w14:paraId="4E29E388" w14:textId="321D6C19" w:rsidR="002A5BA3" w:rsidRPr="00CF46B7" w:rsidRDefault="002A5BA3" w:rsidP="002A5BA3">
      <w:pPr>
        <w:tabs>
          <w:tab w:val="left" w:pos="2595"/>
        </w:tabs>
        <w:spacing w:line="276" w:lineRule="auto"/>
        <w:jc w:val="both"/>
      </w:pPr>
      <w:r w:rsidRPr="00CF46B7">
        <w:t xml:space="preserve">Předseda </w:t>
      </w:r>
      <w:r w:rsidR="007646C4" w:rsidRPr="00CF46B7">
        <w:t>DK</w:t>
      </w:r>
      <w:r w:rsidRPr="00CF46B7">
        <w:t xml:space="preserve"> poděkoval všem za spolupráci</w:t>
      </w:r>
      <w:r w:rsidR="007646C4" w:rsidRPr="00CF46B7">
        <w:t xml:space="preserve"> a</w:t>
      </w:r>
      <w:r w:rsidRPr="00CF46B7">
        <w:t xml:space="preserve"> jednání v</w:t>
      </w:r>
      <w:r w:rsidR="003E3CCC">
        <w:t> 18:00 hodin</w:t>
      </w:r>
      <w:r w:rsidRPr="00CF46B7">
        <w:t xml:space="preserve"> ukončil.</w:t>
      </w:r>
    </w:p>
    <w:p w14:paraId="380AC86D" w14:textId="77777777" w:rsidR="002A5BA3" w:rsidRPr="00CF46B7" w:rsidRDefault="002A5BA3" w:rsidP="002A5BA3">
      <w:pPr>
        <w:tabs>
          <w:tab w:val="left" w:pos="2595"/>
        </w:tabs>
        <w:spacing w:line="276" w:lineRule="auto"/>
        <w:jc w:val="both"/>
      </w:pPr>
    </w:p>
    <w:p w14:paraId="10B7C648" w14:textId="77777777" w:rsidR="002A5BA3" w:rsidRPr="00CF46B7" w:rsidRDefault="002A5BA3" w:rsidP="002A5BA3">
      <w:pPr>
        <w:spacing w:line="276" w:lineRule="auto"/>
      </w:pPr>
    </w:p>
    <w:p w14:paraId="753E72F9" w14:textId="6E50BDFD" w:rsidR="002A5BA3" w:rsidRPr="00CF46B7" w:rsidRDefault="002A5BA3" w:rsidP="002A5BA3">
      <w:pPr>
        <w:spacing w:line="276" w:lineRule="auto"/>
      </w:pPr>
      <w:r w:rsidRPr="00CF46B7">
        <w:t xml:space="preserve">V Praze dne </w:t>
      </w:r>
      <w:r w:rsidR="003E3CCC">
        <w:t>18</w:t>
      </w:r>
      <w:r w:rsidRPr="00CF46B7">
        <w:t>. 6. 202</w:t>
      </w:r>
      <w:r w:rsidR="003E3CCC">
        <w:t>4</w:t>
      </w:r>
    </w:p>
    <w:p w14:paraId="77CDAAD9" w14:textId="7BF8E83F" w:rsidR="002A5BA3" w:rsidRDefault="002A5BA3" w:rsidP="002A5BA3">
      <w:pPr>
        <w:spacing w:line="276" w:lineRule="auto"/>
      </w:pPr>
    </w:p>
    <w:p w14:paraId="16F2BE30" w14:textId="77777777" w:rsidR="003E3CCC" w:rsidRPr="00CF46B7" w:rsidRDefault="003E3CCC" w:rsidP="002A5BA3">
      <w:pPr>
        <w:spacing w:line="276" w:lineRule="auto"/>
      </w:pPr>
    </w:p>
    <w:p w14:paraId="2820325B" w14:textId="77777777" w:rsidR="002A5BA3" w:rsidRPr="00CF46B7" w:rsidRDefault="002A5BA3" w:rsidP="002A5BA3">
      <w:pPr>
        <w:spacing w:line="276" w:lineRule="auto"/>
      </w:pPr>
    </w:p>
    <w:p w14:paraId="4CF40E27" w14:textId="2FDAD575" w:rsidR="003E3CCC" w:rsidRPr="00CF46B7" w:rsidRDefault="003E3CCC" w:rsidP="003E3CCC">
      <w:pPr>
        <w:spacing w:line="276" w:lineRule="auto"/>
      </w:pPr>
      <w:r>
        <w:t>Zpracovala</w:t>
      </w:r>
      <w:r w:rsidRPr="00CF46B7">
        <w:t xml:space="preserve">: </w:t>
      </w:r>
      <w:r w:rsidRPr="00CF46B7">
        <w:tab/>
        <w:t>Tamara Hegerová, 1. tajemnice DK ___________________________________</w:t>
      </w:r>
    </w:p>
    <w:p w14:paraId="763899B5" w14:textId="77777777" w:rsidR="002A5BA3" w:rsidRPr="00CF46B7" w:rsidRDefault="002A5BA3" w:rsidP="002A5BA3">
      <w:pPr>
        <w:spacing w:line="276" w:lineRule="auto"/>
      </w:pPr>
    </w:p>
    <w:p w14:paraId="0CD3D0F4" w14:textId="77777777" w:rsidR="00AD6818" w:rsidRDefault="00AD6818" w:rsidP="002A5BA3">
      <w:pPr>
        <w:spacing w:line="276" w:lineRule="auto"/>
      </w:pPr>
    </w:p>
    <w:p w14:paraId="746DADFC" w14:textId="2DC8D659" w:rsidR="002A5BA3" w:rsidRPr="00CF46B7" w:rsidRDefault="003E3CCC" w:rsidP="002A5BA3">
      <w:pPr>
        <w:spacing w:line="276" w:lineRule="auto"/>
      </w:pPr>
      <w:r>
        <w:t>Ověřila</w:t>
      </w:r>
      <w:r w:rsidR="002A5BA3" w:rsidRPr="00CF46B7">
        <w:t>:</w:t>
      </w:r>
      <w:r w:rsidR="002A5BA3" w:rsidRPr="00CF46B7">
        <w:tab/>
        <w:t>MgA. Kateřina Hakenová, 2. tajemnice</w:t>
      </w:r>
      <w:r w:rsidR="002A5BA3" w:rsidRPr="00CF46B7">
        <w:tab/>
        <w:t>DK ____________________________</w:t>
      </w:r>
    </w:p>
    <w:p w14:paraId="2EB898DB" w14:textId="77777777" w:rsidR="002A5BA3" w:rsidRPr="00CF46B7" w:rsidRDefault="002A5BA3" w:rsidP="002A5BA3">
      <w:pPr>
        <w:spacing w:line="276" w:lineRule="auto"/>
      </w:pPr>
    </w:p>
    <w:p w14:paraId="1D76BD2F" w14:textId="77777777" w:rsidR="002A5BA3" w:rsidRPr="00CF46B7" w:rsidRDefault="002A5BA3" w:rsidP="002A5BA3">
      <w:pPr>
        <w:spacing w:line="276" w:lineRule="auto"/>
      </w:pPr>
    </w:p>
    <w:p w14:paraId="6F446AD8" w14:textId="3C88DE63" w:rsidR="002A5BA3" w:rsidRDefault="002A5BA3" w:rsidP="002A5BA3">
      <w:pPr>
        <w:pStyle w:val="Zkladntext"/>
        <w:spacing w:line="276" w:lineRule="auto"/>
        <w:rPr>
          <w:b w:val="0"/>
          <w:sz w:val="22"/>
          <w:szCs w:val="22"/>
        </w:rPr>
      </w:pPr>
      <w:r w:rsidRPr="00CF46B7">
        <w:rPr>
          <w:b w:val="0"/>
          <w:sz w:val="22"/>
          <w:szCs w:val="22"/>
        </w:rPr>
        <w:t>Schválil:</w:t>
      </w:r>
      <w:r w:rsidRPr="00CF46B7">
        <w:rPr>
          <w:b w:val="0"/>
          <w:sz w:val="22"/>
          <w:szCs w:val="22"/>
        </w:rPr>
        <w:tab/>
        <w:t xml:space="preserve">Mgr. </w:t>
      </w:r>
      <w:r w:rsidR="00E043A9">
        <w:rPr>
          <w:b w:val="0"/>
          <w:sz w:val="22"/>
          <w:szCs w:val="22"/>
        </w:rPr>
        <w:t xml:space="preserve">Jakub </w:t>
      </w:r>
      <w:proofErr w:type="spellStart"/>
      <w:r w:rsidR="00E043A9">
        <w:rPr>
          <w:b w:val="0"/>
          <w:sz w:val="22"/>
          <w:szCs w:val="22"/>
        </w:rPr>
        <w:t>Lepš</w:t>
      </w:r>
      <w:proofErr w:type="spellEnd"/>
      <w:r w:rsidR="00E043A9">
        <w:rPr>
          <w:b w:val="0"/>
          <w:sz w:val="22"/>
          <w:szCs w:val="22"/>
        </w:rPr>
        <w:t>, M.A.</w:t>
      </w:r>
      <w:r w:rsidRPr="00CF46B7">
        <w:rPr>
          <w:b w:val="0"/>
          <w:sz w:val="22"/>
          <w:szCs w:val="22"/>
        </w:rPr>
        <w:t>, předseda DK _________________________________</w:t>
      </w:r>
    </w:p>
    <w:p w14:paraId="2EC3D835" w14:textId="77777777" w:rsidR="002A5BA3" w:rsidRDefault="002A5BA3" w:rsidP="002A5BA3">
      <w:pPr>
        <w:pStyle w:val="Zkladntext"/>
        <w:spacing w:line="276" w:lineRule="auto"/>
        <w:jc w:val="center"/>
        <w:rPr>
          <w:b w:val="0"/>
          <w:sz w:val="22"/>
          <w:szCs w:val="22"/>
        </w:rPr>
      </w:pPr>
    </w:p>
    <w:p w14:paraId="2A4A26EC" w14:textId="77777777" w:rsidR="002A5BA3" w:rsidRDefault="002A5BA3" w:rsidP="002A5BA3">
      <w:pPr>
        <w:pStyle w:val="Zkladntext"/>
        <w:spacing w:line="276" w:lineRule="auto"/>
        <w:jc w:val="center"/>
        <w:rPr>
          <w:b w:val="0"/>
          <w:sz w:val="22"/>
          <w:szCs w:val="22"/>
        </w:rPr>
      </w:pPr>
    </w:p>
    <w:p w14:paraId="79C3F204" w14:textId="77777777" w:rsidR="002A5BA3" w:rsidRDefault="002A5BA3" w:rsidP="002A5BA3">
      <w:pPr>
        <w:pStyle w:val="Zkladntext"/>
        <w:spacing w:line="276" w:lineRule="auto"/>
        <w:jc w:val="center"/>
        <w:rPr>
          <w:b w:val="0"/>
          <w:sz w:val="22"/>
          <w:szCs w:val="22"/>
        </w:rPr>
      </w:pPr>
    </w:p>
    <w:p w14:paraId="7826A774" w14:textId="185E6252" w:rsidR="002A5BA3" w:rsidRDefault="002A5BA3" w:rsidP="007646C4">
      <w:pPr>
        <w:spacing w:line="276" w:lineRule="auto"/>
        <w:jc w:val="both"/>
      </w:pPr>
    </w:p>
    <w:p w14:paraId="7DF312BC" w14:textId="77777777" w:rsidR="002A5BA3" w:rsidRDefault="002A5BA3" w:rsidP="002A5BA3">
      <w:pPr>
        <w:tabs>
          <w:tab w:val="left" w:pos="2370"/>
        </w:tabs>
      </w:pPr>
    </w:p>
    <w:p w14:paraId="7122B167" w14:textId="77777777" w:rsidR="002A5BA3" w:rsidRDefault="002A5BA3" w:rsidP="002A5BA3">
      <w:pPr>
        <w:tabs>
          <w:tab w:val="left" w:pos="2370"/>
        </w:tabs>
      </w:pPr>
    </w:p>
    <w:p w14:paraId="0E7EFB11" w14:textId="202A2EEA" w:rsidR="009315DC" w:rsidRDefault="009315DC" w:rsidP="007646C4">
      <w:pPr>
        <w:tabs>
          <w:tab w:val="left" w:pos="1100"/>
        </w:tabs>
      </w:pPr>
    </w:p>
    <w:sectPr w:rsidR="009315DC" w:rsidSect="002D2632">
      <w:footerReference w:type="default" r:id="rId8"/>
      <w:headerReference w:type="first" r:id="rId9"/>
      <w:footerReference w:type="first" r:id="rId10"/>
      <w:pgSz w:w="11906" w:h="16838" w:code="9"/>
      <w:pgMar w:top="1049" w:right="1021" w:bottom="1418" w:left="2381" w:header="624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51C2" w14:textId="77777777" w:rsidR="00B1306D" w:rsidRDefault="00B1306D">
      <w:pPr>
        <w:spacing w:line="240" w:lineRule="auto"/>
      </w:pPr>
      <w:r>
        <w:separator/>
      </w:r>
    </w:p>
  </w:endnote>
  <w:endnote w:type="continuationSeparator" w:id="0">
    <w:p w14:paraId="37D7CB8A" w14:textId="77777777" w:rsidR="00B1306D" w:rsidRDefault="00B13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C813" w14:textId="77777777" w:rsidR="008A1ADB" w:rsidRPr="00F4437E" w:rsidRDefault="002A5BA3" w:rsidP="00F16431">
    <w:pPr>
      <w:pStyle w:val="Bezmezer"/>
      <w:spacing w:line="240" w:lineRule="exact"/>
      <w:ind w:hanging="1820"/>
    </w:pP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PAGE  \* Arabic  \* MERGEFORMAT</w:instrText>
    </w:r>
    <w:r w:rsidRPr="00F16431">
      <w:rPr>
        <w:w w:val="101"/>
        <w:sz w:val="18"/>
      </w:rPr>
      <w:fldChar w:fldCharType="separate"/>
    </w:r>
    <w:r>
      <w:rPr>
        <w:noProof/>
        <w:w w:val="101"/>
        <w:sz w:val="18"/>
      </w:rPr>
      <w:t>4</w:t>
    </w:r>
    <w:r w:rsidRPr="00F16431">
      <w:rPr>
        <w:w w:val="101"/>
        <w:sz w:val="18"/>
      </w:rPr>
      <w:fldChar w:fldCharType="end"/>
    </w:r>
    <w:r w:rsidRPr="00F16431">
      <w:rPr>
        <w:w w:val="101"/>
        <w:sz w:val="18"/>
      </w:rPr>
      <w:t>/</w:t>
    </w: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NUMPAGES  \* Arabic  \* MERGEFORMAT</w:instrText>
    </w:r>
    <w:r w:rsidRPr="00F16431">
      <w:rPr>
        <w:w w:val="101"/>
        <w:sz w:val="18"/>
      </w:rPr>
      <w:fldChar w:fldCharType="separate"/>
    </w:r>
    <w:r>
      <w:rPr>
        <w:noProof/>
        <w:w w:val="101"/>
        <w:sz w:val="18"/>
      </w:rPr>
      <w:t>6</w:t>
    </w:r>
    <w:r w:rsidRPr="00F16431">
      <w:rPr>
        <w:w w:val="101"/>
        <w:sz w:val="18"/>
      </w:rPr>
      <w:fldChar w:fldCharType="end"/>
    </w:r>
    <w:r>
      <w:rPr>
        <w:b/>
        <w:w w:val="101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C322" w14:textId="77777777" w:rsidR="008A1ADB" w:rsidRPr="00EB4CF5" w:rsidRDefault="00DC434E" w:rsidP="00F16431">
    <w:pPr>
      <w:pStyle w:val="Zpat"/>
      <w:spacing w:line="240" w:lineRule="exact"/>
      <w:rPr>
        <w:w w:val="104"/>
        <w:sz w:val="18"/>
      </w:rPr>
    </w:pPr>
  </w:p>
  <w:p w14:paraId="2A04EAE9" w14:textId="77777777" w:rsidR="008A1ADB" w:rsidRPr="00EB4CF5" w:rsidRDefault="002A5BA3" w:rsidP="00F16431">
    <w:pPr>
      <w:pStyle w:val="Zpat"/>
      <w:spacing w:line="240" w:lineRule="exact"/>
      <w:ind w:hanging="1820"/>
      <w:rPr>
        <w:w w:val="106"/>
        <w:sz w:val="18"/>
      </w:rPr>
    </w:pP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PAGE  \* Arabic  \* MERGEFORMAT</w:instrText>
    </w:r>
    <w:r w:rsidRPr="001F06E7">
      <w:rPr>
        <w:bCs/>
        <w:w w:val="101"/>
        <w:sz w:val="18"/>
      </w:rPr>
      <w:fldChar w:fldCharType="separate"/>
    </w:r>
    <w:r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 w:rsidRPr="001F06E7">
      <w:rPr>
        <w:w w:val="101"/>
        <w:sz w:val="18"/>
      </w:rPr>
      <w:t>/</w:t>
    </w: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NUMPAGES  \* Arabic  \* MERGEFORMAT</w:instrText>
    </w:r>
    <w:r w:rsidRPr="001F06E7">
      <w:rPr>
        <w:bCs/>
        <w:w w:val="101"/>
        <w:sz w:val="18"/>
      </w:rPr>
      <w:fldChar w:fldCharType="separate"/>
    </w:r>
    <w:r>
      <w:rPr>
        <w:bCs/>
        <w:noProof/>
        <w:w w:val="101"/>
        <w:sz w:val="18"/>
      </w:rPr>
      <w:t>6</w:t>
    </w:r>
    <w:r w:rsidRPr="001F06E7">
      <w:rPr>
        <w:bCs/>
        <w:w w:val="101"/>
        <w:sz w:val="18"/>
      </w:rPr>
      <w:fldChar w:fldCharType="end"/>
    </w:r>
    <w:r>
      <w:rPr>
        <w:b/>
        <w:bCs/>
        <w:w w:val="101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CC078" w14:textId="77777777" w:rsidR="00B1306D" w:rsidRDefault="00B1306D">
      <w:pPr>
        <w:spacing w:line="240" w:lineRule="auto"/>
      </w:pPr>
      <w:r>
        <w:separator/>
      </w:r>
    </w:p>
  </w:footnote>
  <w:footnote w:type="continuationSeparator" w:id="0">
    <w:p w14:paraId="686371B4" w14:textId="77777777" w:rsidR="00B1306D" w:rsidRDefault="00B130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4B70" w14:textId="77777777" w:rsidR="008A1ADB" w:rsidRDefault="002A5BA3" w:rsidP="003F563E">
    <w:pPr>
      <w:pStyle w:val="Zhlav"/>
      <w:spacing w:line="320" w:lineRule="exac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474D425" wp14:editId="50FB6CCD">
          <wp:simplePos x="0" y="0"/>
          <wp:positionH relativeFrom="page">
            <wp:posOffset>360045</wp:posOffset>
          </wp:positionH>
          <wp:positionV relativeFrom="page">
            <wp:posOffset>420105</wp:posOffset>
          </wp:positionV>
          <wp:extent cx="899795" cy="878205"/>
          <wp:effectExtent l="0" t="0" r="0" b="0"/>
          <wp:wrapTight wrapText="bothSides">
            <wp:wrapPolygon edited="0">
              <wp:start x="0" y="0"/>
              <wp:lineTo x="0" y="21085"/>
              <wp:lineTo x="21036" y="21085"/>
              <wp:lineTo x="21036" y="0"/>
              <wp:lineTo x="0" y="0"/>
            </wp:wrapPolygon>
          </wp:wrapTight>
          <wp:docPr id="5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82EA84" w14:textId="77777777" w:rsidR="008A1ADB" w:rsidRDefault="00DC434E" w:rsidP="003F563E">
    <w:pPr>
      <w:pStyle w:val="Zhlav"/>
      <w:spacing w:line="320" w:lineRule="exact"/>
    </w:pPr>
  </w:p>
  <w:p w14:paraId="6B6BBA45" w14:textId="77777777" w:rsidR="008A1ADB" w:rsidRDefault="00DC434E" w:rsidP="003F563E">
    <w:pPr>
      <w:pStyle w:val="Zhlav"/>
      <w:spacing w:line="320" w:lineRule="exact"/>
    </w:pPr>
  </w:p>
  <w:p w14:paraId="1ED5CD9F" w14:textId="77777777" w:rsidR="008A1ADB" w:rsidRPr="0033332E" w:rsidRDefault="00DC434E" w:rsidP="0033332E">
    <w:pPr>
      <w:pStyle w:val="Zhlav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3CDE"/>
    <w:multiLevelType w:val="hybridMultilevel"/>
    <w:tmpl w:val="01B01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C04AD"/>
    <w:multiLevelType w:val="hybridMultilevel"/>
    <w:tmpl w:val="83B2E972"/>
    <w:lvl w:ilvl="0" w:tplc="08167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4663F"/>
    <w:multiLevelType w:val="hybridMultilevel"/>
    <w:tmpl w:val="AA2E10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7D5840"/>
    <w:multiLevelType w:val="hybridMultilevel"/>
    <w:tmpl w:val="AC7ED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6103D"/>
    <w:multiLevelType w:val="hybridMultilevel"/>
    <w:tmpl w:val="01B01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A3"/>
    <w:rsid w:val="00242506"/>
    <w:rsid w:val="002A5BA3"/>
    <w:rsid w:val="003E3CCC"/>
    <w:rsid w:val="0045175B"/>
    <w:rsid w:val="0045249E"/>
    <w:rsid w:val="004D4023"/>
    <w:rsid w:val="00692337"/>
    <w:rsid w:val="006F7296"/>
    <w:rsid w:val="007646C4"/>
    <w:rsid w:val="00841334"/>
    <w:rsid w:val="009315DC"/>
    <w:rsid w:val="00944BEE"/>
    <w:rsid w:val="00973A3E"/>
    <w:rsid w:val="00973E81"/>
    <w:rsid w:val="00A2701A"/>
    <w:rsid w:val="00AD6818"/>
    <w:rsid w:val="00B1306D"/>
    <w:rsid w:val="00B52EF6"/>
    <w:rsid w:val="00BA6BD8"/>
    <w:rsid w:val="00C668DE"/>
    <w:rsid w:val="00CF46B7"/>
    <w:rsid w:val="00DC434E"/>
    <w:rsid w:val="00E043A9"/>
    <w:rsid w:val="00EB119C"/>
    <w:rsid w:val="00E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5935"/>
  <w15:chartTrackingRefBased/>
  <w15:docId w15:val="{9EDDA78F-3C58-4839-9FB7-F8BCE179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8"/>
    <w:qFormat/>
    <w:rsid w:val="002A5BA3"/>
    <w:pPr>
      <w:spacing w:after="0" w:line="32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2A5BA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A5BA3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semiHidden/>
    <w:rsid w:val="002A5BA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A5BA3"/>
    <w:rPr>
      <w:rFonts w:ascii="Times New Roman" w:eastAsia="Calibri" w:hAnsi="Times New Roman" w:cs="Times New Roman"/>
    </w:rPr>
  </w:style>
  <w:style w:type="paragraph" w:styleId="Bezmezer">
    <w:name w:val="No Spacing"/>
    <w:link w:val="BezmezerChar"/>
    <w:qFormat/>
    <w:rsid w:val="002A5BA3"/>
    <w:pPr>
      <w:spacing w:after="0" w:line="320" w:lineRule="exact"/>
      <w:jc w:val="both"/>
    </w:pPr>
    <w:rPr>
      <w:rFonts w:ascii="Times New Roman" w:eastAsia="Calibri" w:hAnsi="Times New Roman" w:cs="Times New Roman"/>
    </w:rPr>
  </w:style>
  <w:style w:type="character" w:customStyle="1" w:styleId="BezmezerChar">
    <w:name w:val="Bez mezer Char"/>
    <w:link w:val="Bezmezer"/>
    <w:rsid w:val="002A5BA3"/>
    <w:rPr>
      <w:rFonts w:ascii="Times New Roman" w:eastAsia="Calibri" w:hAnsi="Times New Roman" w:cs="Times New Roman"/>
    </w:rPr>
  </w:style>
  <w:style w:type="paragraph" w:customStyle="1" w:styleId="ZhlavGM">
    <w:name w:val="Záhlaví GM"/>
    <w:basedOn w:val="Zhlav"/>
    <w:link w:val="ZhlavGMChar"/>
    <w:qFormat/>
    <w:rsid w:val="002A5BA3"/>
    <w:pPr>
      <w:spacing w:line="320" w:lineRule="exact"/>
    </w:pPr>
    <w:rPr>
      <w:rFonts w:eastAsia="Times New Roman"/>
      <w:spacing w:val="10"/>
      <w:szCs w:val="24"/>
      <w:lang w:eastAsia="cs-CZ"/>
    </w:rPr>
  </w:style>
  <w:style w:type="character" w:customStyle="1" w:styleId="ZhlavGMChar">
    <w:name w:val="Záhlaví GM Char"/>
    <w:link w:val="ZhlavGM"/>
    <w:rsid w:val="002A5BA3"/>
    <w:rPr>
      <w:rFonts w:ascii="Times New Roman" w:eastAsia="Times New Roman" w:hAnsi="Times New Roman" w:cs="Times New Roman"/>
      <w:spacing w:val="10"/>
      <w:szCs w:val="24"/>
      <w:lang w:eastAsia="cs-CZ"/>
    </w:rPr>
  </w:style>
  <w:style w:type="paragraph" w:customStyle="1" w:styleId="PID2">
    <w:name w:val="PID2"/>
    <w:basedOn w:val="Normln"/>
    <w:link w:val="PID2Char"/>
    <w:qFormat/>
    <w:rsid w:val="002A5BA3"/>
    <w:pPr>
      <w:framePr w:hSpace="142" w:wrap="around" w:vAnchor="page" w:hAnchor="margin" w:xAlign="right" w:y="704"/>
      <w:spacing w:line="240" w:lineRule="auto"/>
      <w:suppressOverlap/>
      <w:jc w:val="center"/>
    </w:pPr>
    <w:rPr>
      <w:rFonts w:cs="Arial"/>
      <w:szCs w:val="20"/>
      <w:lang w:eastAsia="cs-CZ"/>
    </w:rPr>
  </w:style>
  <w:style w:type="character" w:customStyle="1" w:styleId="PID2Char">
    <w:name w:val="PID2 Char"/>
    <w:link w:val="PID2"/>
    <w:rsid w:val="002A5BA3"/>
    <w:rPr>
      <w:rFonts w:ascii="Times New Roman" w:eastAsia="Calibri" w:hAnsi="Times New Roman" w:cs="Arial"/>
      <w:szCs w:val="20"/>
      <w:lang w:eastAsia="cs-CZ"/>
    </w:rPr>
  </w:style>
  <w:style w:type="paragraph" w:styleId="Zkladntext">
    <w:name w:val="Body Text"/>
    <w:basedOn w:val="Normln"/>
    <w:link w:val="ZkladntextChar"/>
    <w:rsid w:val="002A5BA3"/>
    <w:pPr>
      <w:spacing w:line="240" w:lineRule="auto"/>
    </w:pPr>
    <w:rPr>
      <w:rFonts w:eastAsia="Times New Roman"/>
      <w:b/>
      <w:bCs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A5BA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2A5BA3"/>
    <w:pPr>
      <w:spacing w:after="160" w:line="252" w:lineRule="auto"/>
      <w:ind w:left="720"/>
      <w:contextualSpacing/>
    </w:pPr>
    <w:rPr>
      <w:rFonts w:ascii="Calibri" w:eastAsiaTheme="minorHAnsi" w:hAnsi="Calibri" w:cs="Calibri"/>
    </w:rPr>
  </w:style>
  <w:style w:type="table" w:styleId="Mkatabulky">
    <w:name w:val="Table Grid"/>
    <w:basedOn w:val="Normlntabulka"/>
    <w:uiPriority w:val="39"/>
    <w:rsid w:val="002A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1bNoEnterB">
    <w:name w:val="Odstavec1b_NoEnterB"/>
    <w:basedOn w:val="Normln"/>
    <w:rsid w:val="002A5BA3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uto"/>
      <w:ind w:left="680"/>
      <w:jc w:val="both"/>
      <w:textAlignment w:val="baseline"/>
    </w:pPr>
    <w:rPr>
      <w:rFonts w:ascii="Arial" w:eastAsia="Times New Roman" w:hAnsi="Arial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44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%C4%8Cesk%C3%A1_filharmon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1281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Hakenová Kateřina (MHMP, KUC)</dc:creator>
  <cp:keywords/>
  <dc:description/>
  <cp:lastModifiedBy>Hegerová Tamara (MHMP, KUC)</cp:lastModifiedBy>
  <cp:revision>7</cp:revision>
  <cp:lastPrinted>2024-06-19T07:42:00Z</cp:lastPrinted>
  <dcterms:created xsi:type="dcterms:W3CDTF">2024-06-18T12:59:00Z</dcterms:created>
  <dcterms:modified xsi:type="dcterms:W3CDTF">2024-06-19T07:43:00Z</dcterms:modified>
</cp:coreProperties>
</file>