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B5B3" w14:textId="0F7D84BC" w:rsidR="003A37F0" w:rsidRPr="006D1A3F" w:rsidRDefault="003A37F0" w:rsidP="003A37F0">
      <w:pPr>
        <w:pStyle w:val="Nadpis2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bookmarkStart w:id="0" w:name="_GoBack"/>
      <w:bookmarkEnd w:id="0"/>
      <w:r w:rsidRPr="006D1A3F">
        <w:rPr>
          <w:bCs/>
          <w:sz w:val="28"/>
          <w:szCs w:val="28"/>
        </w:rPr>
        <w:t xml:space="preserve">Ceník parkovacích oprávnění </w:t>
      </w:r>
      <w:r w:rsidR="006D5405">
        <w:rPr>
          <w:bCs/>
          <w:sz w:val="28"/>
          <w:szCs w:val="28"/>
        </w:rPr>
        <w:t xml:space="preserve">a karet </w:t>
      </w:r>
      <w:r w:rsidRPr="006D1A3F">
        <w:rPr>
          <w:bCs/>
          <w:sz w:val="28"/>
          <w:szCs w:val="28"/>
        </w:rPr>
        <w:t xml:space="preserve">v zónách placeného stání </w:t>
      </w:r>
    </w:p>
    <w:p w14:paraId="1C017B22" w14:textId="65E00705" w:rsidR="0045724F" w:rsidRPr="002A4F89" w:rsidRDefault="003A37F0" w:rsidP="003A37F0">
      <w:pPr>
        <w:pStyle w:val="Zkladntext"/>
        <w:jc w:val="center"/>
        <w:rPr>
          <w:b/>
          <w:bCs/>
          <w:color w:val="FF0000"/>
          <w:sz w:val="28"/>
          <w:szCs w:val="28"/>
          <w:u w:val="single"/>
        </w:rPr>
      </w:pPr>
      <w:r w:rsidRPr="006D1A3F">
        <w:rPr>
          <w:b/>
          <w:bCs/>
          <w:sz w:val="28"/>
          <w:szCs w:val="28"/>
          <w:u w:val="single"/>
        </w:rPr>
        <w:t xml:space="preserve">pro </w:t>
      </w:r>
      <w:r w:rsidR="00197B17">
        <w:rPr>
          <w:b/>
          <w:bCs/>
          <w:sz w:val="28"/>
          <w:szCs w:val="28"/>
          <w:u w:val="single"/>
        </w:rPr>
        <w:t xml:space="preserve">oblasti </w:t>
      </w:r>
      <w:r w:rsidRPr="006D1A3F">
        <w:rPr>
          <w:b/>
          <w:bCs/>
          <w:sz w:val="28"/>
          <w:szCs w:val="28"/>
          <w:u w:val="single"/>
        </w:rPr>
        <w:t>na území hl. m. Prahy</w:t>
      </w:r>
      <w:r w:rsidRPr="003A37F0">
        <w:rPr>
          <w:b/>
          <w:bCs/>
          <w:sz w:val="28"/>
          <w:szCs w:val="28"/>
          <w:u w:val="single"/>
        </w:rPr>
        <w:t xml:space="preserve"> </w:t>
      </w:r>
      <w:r w:rsidR="002A4F89" w:rsidRPr="00AC5ED5">
        <w:rPr>
          <w:b/>
          <w:bCs/>
          <w:color w:val="000000" w:themeColor="text1"/>
          <w:sz w:val="28"/>
          <w:szCs w:val="28"/>
          <w:u w:val="single"/>
        </w:rPr>
        <w:t>vymezené na části území městské části</w:t>
      </w:r>
    </w:p>
    <w:p w14:paraId="7FDD786D" w14:textId="77777777" w:rsidR="000E390D" w:rsidRPr="000E390D" w:rsidRDefault="000E390D" w:rsidP="000E390D">
      <w:pPr>
        <w:pStyle w:val="Zkladntext"/>
        <w:rPr>
          <w:b/>
          <w:bCs/>
        </w:rPr>
      </w:pPr>
    </w:p>
    <w:p w14:paraId="6E61ECD3" w14:textId="77777777" w:rsidR="006F3E0A" w:rsidRDefault="006F3E0A" w:rsidP="00082A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3DC744FA" w14:textId="77777777" w:rsidR="00DB7F8E" w:rsidRPr="00CA417F" w:rsidRDefault="00082ABC" w:rsidP="00082A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CA417F">
        <w:rPr>
          <w:b/>
          <w:bCs/>
          <w:szCs w:val="20"/>
        </w:rPr>
        <w:t xml:space="preserve">Parkovací </w:t>
      </w:r>
      <w:r w:rsidR="005D4E77" w:rsidRPr="00CA417F">
        <w:rPr>
          <w:b/>
          <w:bCs/>
          <w:szCs w:val="20"/>
        </w:rPr>
        <w:t>oprávnění</w:t>
      </w:r>
      <w:r w:rsidRPr="00CA417F">
        <w:rPr>
          <w:b/>
          <w:bCs/>
          <w:szCs w:val="20"/>
        </w:rPr>
        <w:t xml:space="preserve"> </w:t>
      </w:r>
      <w:r w:rsidR="00C4117B" w:rsidRPr="00CA417F">
        <w:rPr>
          <w:b/>
          <w:bCs/>
          <w:szCs w:val="20"/>
        </w:rPr>
        <w:t>vydan</w:t>
      </w:r>
      <w:r w:rsidR="00563CD0">
        <w:rPr>
          <w:b/>
          <w:bCs/>
          <w:szCs w:val="20"/>
        </w:rPr>
        <w:t>é</w:t>
      </w:r>
      <w:r w:rsidR="00C4117B" w:rsidRPr="00CA417F">
        <w:rPr>
          <w:b/>
          <w:bCs/>
          <w:szCs w:val="20"/>
        </w:rPr>
        <w:t xml:space="preserve"> na výdejně parkovacích oprávnění </w:t>
      </w:r>
      <w:r w:rsidRPr="00CA417F">
        <w:rPr>
          <w:b/>
          <w:bCs/>
          <w:szCs w:val="20"/>
        </w:rPr>
        <w:t>opravňuje k stání silničního motorového vozidla provozovaného právnickou nebo fyzickou osobou za účelem podnikání podle zvláštního právního předpisu, která má sídlo nebo provozovnu ve vymezené oblasti hlavního města Prahy, nebo k stání silničního motorového vozidla fyzické osoby, která má místo trvalého pobytu nebo je vlastníkem nemovitosti ve vymezené oblasti hlavního města Prahy.</w:t>
      </w:r>
    </w:p>
    <w:p w14:paraId="20ADFB12" w14:textId="77777777" w:rsidR="00082ABC" w:rsidRPr="00082ABC" w:rsidRDefault="00082ABC" w:rsidP="00082ABC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4D85A99F" w14:textId="77777777" w:rsidR="00082ABC" w:rsidRPr="00082ABC" w:rsidRDefault="00082ABC" w:rsidP="00082ABC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b/>
          <w:bCs/>
          <w:szCs w:val="20"/>
        </w:rPr>
      </w:pPr>
      <w:r w:rsidRPr="00082ABC">
        <w:rPr>
          <w:b/>
          <w:bCs/>
          <w:szCs w:val="20"/>
        </w:rPr>
        <w:t>Základní cena:</w:t>
      </w:r>
    </w:p>
    <w:p w14:paraId="1BC90890" w14:textId="77777777" w:rsidR="00DB7F8E" w:rsidRPr="00DB7F8E" w:rsidRDefault="00DB7F8E" w:rsidP="00DB7F8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bCs/>
          <w:szCs w:val="20"/>
        </w:rPr>
      </w:pPr>
    </w:p>
    <w:p w14:paraId="0A5A40F3" w14:textId="77777777" w:rsidR="00DB7F8E" w:rsidRPr="00DB7F8E" w:rsidRDefault="00DB7F8E" w:rsidP="00DB7F8E">
      <w:pPr>
        <w:overflowPunct w:val="0"/>
        <w:autoSpaceDE w:val="0"/>
        <w:autoSpaceDN w:val="0"/>
        <w:adjustRightInd w:val="0"/>
        <w:ind w:left="1416" w:hanging="1416"/>
        <w:textAlignment w:val="baseline"/>
        <w:rPr>
          <w:szCs w:val="20"/>
        </w:rPr>
      </w:pPr>
      <w:r w:rsidRPr="00DB7F8E">
        <w:rPr>
          <w:szCs w:val="20"/>
        </w:rPr>
        <w:t>1. cenové pásmo</w:t>
      </w:r>
    </w:p>
    <w:p w14:paraId="437A6C70" w14:textId="77777777" w:rsidR="00DB7F8E" w:rsidRPr="00DB7F8E" w:rsidRDefault="00047001" w:rsidP="00DB7F8E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ind w:left="2127" w:hanging="2127"/>
        <w:textAlignment w:val="baseline"/>
        <w:rPr>
          <w:szCs w:val="20"/>
        </w:rPr>
      </w:pPr>
      <w:r>
        <w:rPr>
          <w:szCs w:val="20"/>
        </w:rPr>
        <w:tab/>
        <w:t>roční</w:t>
      </w:r>
      <w:r>
        <w:rPr>
          <w:szCs w:val="20"/>
        </w:rPr>
        <w:tab/>
      </w:r>
      <w:r>
        <w:rPr>
          <w:szCs w:val="20"/>
        </w:rPr>
        <w:tab/>
        <w:t>24</w:t>
      </w:r>
      <w:r w:rsidR="00DB7F8E" w:rsidRPr="00DB7F8E">
        <w:rPr>
          <w:szCs w:val="20"/>
        </w:rPr>
        <w:t xml:space="preserve"> 000,- Kč</w:t>
      </w:r>
    </w:p>
    <w:p w14:paraId="4A9EED70" w14:textId="77777777" w:rsidR="00DB7F8E" w:rsidRPr="00DB7F8E" w:rsidRDefault="00047001" w:rsidP="00DB7F8E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ab/>
        <w:t>pololetní</w:t>
      </w:r>
      <w:r>
        <w:rPr>
          <w:szCs w:val="20"/>
        </w:rPr>
        <w:tab/>
      </w:r>
      <w:r>
        <w:rPr>
          <w:szCs w:val="20"/>
        </w:rPr>
        <w:tab/>
        <w:t>13</w:t>
      </w:r>
      <w:r w:rsidR="00DB7F8E" w:rsidRPr="00DB7F8E">
        <w:rPr>
          <w:szCs w:val="20"/>
        </w:rPr>
        <w:t xml:space="preserve"> </w:t>
      </w:r>
      <w:r>
        <w:rPr>
          <w:szCs w:val="20"/>
        </w:rPr>
        <w:t>5</w:t>
      </w:r>
      <w:r w:rsidR="00DB7F8E" w:rsidRPr="00DB7F8E">
        <w:rPr>
          <w:szCs w:val="20"/>
        </w:rPr>
        <w:t>00,- Kč</w:t>
      </w:r>
    </w:p>
    <w:p w14:paraId="4E07B8FA" w14:textId="77777777" w:rsidR="00DB7F8E" w:rsidRPr="00DB7F8E" w:rsidRDefault="00DB7F8E" w:rsidP="00DB7F8E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čtvrtletní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7</w:t>
      </w:r>
      <w:r w:rsidRPr="00DB7F8E">
        <w:rPr>
          <w:szCs w:val="20"/>
        </w:rPr>
        <w:t xml:space="preserve"> 000,- Kč</w:t>
      </w:r>
    </w:p>
    <w:p w14:paraId="1950401D" w14:textId="77777777" w:rsidR="00DB7F8E" w:rsidRPr="00DB7F8E" w:rsidRDefault="00DB7F8E" w:rsidP="00DB7F8E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měsíční</w:t>
      </w:r>
      <w:r w:rsidRPr="00DB7F8E">
        <w:rPr>
          <w:szCs w:val="20"/>
        </w:rPr>
        <w:tab/>
      </w:r>
      <w:r>
        <w:rPr>
          <w:szCs w:val="20"/>
        </w:rPr>
        <w:tab/>
      </w:r>
      <w:r w:rsidR="00047001">
        <w:rPr>
          <w:szCs w:val="20"/>
        </w:rPr>
        <w:t>2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2</w:t>
      </w:r>
      <w:r w:rsidRPr="00DB7F8E">
        <w:rPr>
          <w:szCs w:val="20"/>
        </w:rPr>
        <w:t>00,- Kč</w:t>
      </w:r>
    </w:p>
    <w:p w14:paraId="36B86497" w14:textId="77777777" w:rsidR="00DB7F8E" w:rsidRPr="00DB7F8E" w:rsidRDefault="00DB7F8E" w:rsidP="00DB7F8E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týdenní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6</w:t>
      </w:r>
      <w:r w:rsidRPr="00DB7F8E">
        <w:rPr>
          <w:szCs w:val="20"/>
        </w:rPr>
        <w:t>00,- Kč</w:t>
      </w:r>
    </w:p>
    <w:p w14:paraId="5AF7B657" w14:textId="77777777" w:rsidR="00DB7F8E" w:rsidRPr="00DB7F8E" w:rsidRDefault="00DB7F8E" w:rsidP="00DB7F8E">
      <w:pPr>
        <w:tabs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C1B1E5D" w14:textId="77777777" w:rsidR="00DB7F8E" w:rsidRPr="00DB7F8E" w:rsidRDefault="00DB7F8E" w:rsidP="00DB7F8E">
      <w:pPr>
        <w:tabs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>2. cenové pásmo</w:t>
      </w:r>
    </w:p>
    <w:p w14:paraId="6768D22A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ind w:left="2127" w:hanging="1985"/>
        <w:textAlignment w:val="baseline"/>
        <w:rPr>
          <w:szCs w:val="20"/>
        </w:rPr>
      </w:pPr>
      <w:r w:rsidRPr="00DB7F8E">
        <w:rPr>
          <w:szCs w:val="20"/>
        </w:rPr>
        <w:tab/>
        <w:t>roční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2</w:t>
      </w:r>
      <w:r w:rsidRPr="00DB7F8E">
        <w:rPr>
          <w:szCs w:val="20"/>
        </w:rPr>
        <w:t>0 000,- Kč</w:t>
      </w:r>
    </w:p>
    <w:p w14:paraId="3B53832E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pololetní</w:t>
      </w:r>
      <w:r w:rsidRPr="00DB7F8E">
        <w:rPr>
          <w:szCs w:val="20"/>
        </w:rPr>
        <w:tab/>
      </w:r>
      <w:r w:rsidRPr="00DB7F8E">
        <w:rPr>
          <w:szCs w:val="20"/>
        </w:rPr>
        <w:tab/>
        <w:t>1</w:t>
      </w:r>
      <w:r w:rsidR="00047001">
        <w:rPr>
          <w:szCs w:val="20"/>
        </w:rPr>
        <w:t>1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5</w:t>
      </w:r>
      <w:r w:rsidRPr="00DB7F8E">
        <w:rPr>
          <w:szCs w:val="20"/>
        </w:rPr>
        <w:t>00,- Kč</w:t>
      </w:r>
    </w:p>
    <w:p w14:paraId="0DDC4119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čtvrtletní</w:t>
      </w:r>
      <w:r w:rsidRPr="00DB7F8E">
        <w:rPr>
          <w:szCs w:val="20"/>
        </w:rPr>
        <w:tab/>
      </w:r>
      <w:r>
        <w:rPr>
          <w:szCs w:val="20"/>
        </w:rPr>
        <w:tab/>
      </w:r>
      <w:r w:rsidR="00047001">
        <w:rPr>
          <w:szCs w:val="20"/>
        </w:rPr>
        <w:t>6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0</w:t>
      </w:r>
      <w:r w:rsidRPr="00DB7F8E">
        <w:rPr>
          <w:szCs w:val="20"/>
        </w:rPr>
        <w:t>00,- Kč</w:t>
      </w:r>
    </w:p>
    <w:p w14:paraId="55BA1733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měsíční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2</w:t>
      </w:r>
      <w:r w:rsidRPr="00DB7F8E">
        <w:rPr>
          <w:szCs w:val="20"/>
        </w:rPr>
        <w:t xml:space="preserve"> 000,- Kč</w:t>
      </w:r>
    </w:p>
    <w:p w14:paraId="5F18E56E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týdenní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55</w:t>
      </w:r>
      <w:r w:rsidRPr="00DB7F8E">
        <w:rPr>
          <w:szCs w:val="20"/>
        </w:rPr>
        <w:t>0,- Kč</w:t>
      </w:r>
    </w:p>
    <w:p w14:paraId="592687FF" w14:textId="77777777" w:rsidR="00DB7F8E" w:rsidRPr="00DB7F8E" w:rsidRDefault="00DB7F8E" w:rsidP="00DB7F8E">
      <w:pPr>
        <w:tabs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63C3614" w14:textId="77777777" w:rsidR="00DB7F8E" w:rsidRPr="00DB7F8E" w:rsidRDefault="00DB7F8E" w:rsidP="00DB7F8E">
      <w:pPr>
        <w:tabs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>3. cenové pásmo</w:t>
      </w:r>
    </w:p>
    <w:p w14:paraId="3EF35B15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ind w:left="2127" w:hanging="1274"/>
        <w:textAlignment w:val="baseline"/>
        <w:rPr>
          <w:szCs w:val="20"/>
        </w:rPr>
      </w:pPr>
      <w:r w:rsidRPr="00DB7F8E">
        <w:rPr>
          <w:szCs w:val="20"/>
        </w:rPr>
        <w:tab/>
        <w:t>roční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16</w:t>
      </w:r>
      <w:r w:rsidRPr="00DB7F8E">
        <w:rPr>
          <w:szCs w:val="20"/>
        </w:rPr>
        <w:t xml:space="preserve"> 000,- Kč</w:t>
      </w:r>
    </w:p>
    <w:p w14:paraId="18FA08DA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pololetní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9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0</w:t>
      </w:r>
      <w:r w:rsidRPr="00DB7F8E">
        <w:rPr>
          <w:szCs w:val="20"/>
        </w:rPr>
        <w:t>00,- Kč</w:t>
      </w:r>
    </w:p>
    <w:p w14:paraId="4B324CF7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čtvrtletní</w:t>
      </w:r>
      <w:r w:rsidRPr="00DB7F8E">
        <w:rPr>
          <w:szCs w:val="20"/>
        </w:rPr>
        <w:tab/>
      </w:r>
      <w:r w:rsidRPr="00DB7F8E">
        <w:rPr>
          <w:szCs w:val="20"/>
        </w:rPr>
        <w:tab/>
      </w:r>
      <w:r w:rsidR="00047001">
        <w:rPr>
          <w:szCs w:val="20"/>
        </w:rPr>
        <w:t>4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7</w:t>
      </w:r>
      <w:r w:rsidRPr="00DB7F8E">
        <w:rPr>
          <w:szCs w:val="20"/>
        </w:rPr>
        <w:t>00,- Kč</w:t>
      </w:r>
    </w:p>
    <w:p w14:paraId="63BF7B4A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7F8E">
        <w:rPr>
          <w:szCs w:val="20"/>
        </w:rPr>
        <w:tab/>
        <w:t>měsíční</w:t>
      </w:r>
      <w:r w:rsidRPr="00DB7F8E">
        <w:rPr>
          <w:szCs w:val="20"/>
        </w:rPr>
        <w:tab/>
      </w:r>
      <w:r>
        <w:rPr>
          <w:szCs w:val="20"/>
        </w:rPr>
        <w:tab/>
      </w:r>
      <w:r w:rsidR="00047001">
        <w:rPr>
          <w:szCs w:val="20"/>
        </w:rPr>
        <w:t>1</w:t>
      </w:r>
      <w:r w:rsidRPr="00DB7F8E">
        <w:rPr>
          <w:szCs w:val="20"/>
        </w:rPr>
        <w:t xml:space="preserve"> </w:t>
      </w:r>
      <w:r w:rsidR="00047001">
        <w:rPr>
          <w:szCs w:val="20"/>
        </w:rPr>
        <w:t>7</w:t>
      </w:r>
      <w:r w:rsidRPr="00DB7F8E">
        <w:rPr>
          <w:szCs w:val="20"/>
        </w:rPr>
        <w:t>00,- Kč</w:t>
      </w:r>
    </w:p>
    <w:p w14:paraId="43E9C4BD" w14:textId="77777777" w:rsidR="00DB7F8E" w:rsidRPr="00DB7F8E" w:rsidRDefault="00DB7F8E" w:rsidP="00082ABC">
      <w:pPr>
        <w:tabs>
          <w:tab w:val="left" w:pos="2127"/>
          <w:tab w:val="left" w:pos="3686"/>
          <w:tab w:val="decimal" w:pos="6946"/>
        </w:tabs>
        <w:overflowPunct w:val="0"/>
        <w:autoSpaceDE w:val="0"/>
        <w:autoSpaceDN w:val="0"/>
        <w:adjustRightInd w:val="0"/>
        <w:textAlignment w:val="baseline"/>
      </w:pPr>
      <w:r w:rsidRPr="00DB7F8E">
        <w:tab/>
        <w:t>týdenní</w:t>
      </w:r>
      <w:r w:rsidRPr="00DB7F8E">
        <w:tab/>
      </w:r>
      <w:r w:rsidRPr="00DB7F8E">
        <w:tab/>
      </w:r>
      <w:r w:rsidR="00047001">
        <w:t>47</w:t>
      </w:r>
      <w:r w:rsidRPr="00DB7F8E">
        <w:t>0,- Kč</w:t>
      </w:r>
    </w:p>
    <w:p w14:paraId="7A2D4DFD" w14:textId="77777777" w:rsidR="00DB7F8E" w:rsidRDefault="00DB7F8E" w:rsidP="00DB7F8E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3715E01E" w14:textId="77777777" w:rsidR="00082ABC" w:rsidRPr="00082ABC" w:rsidRDefault="00082ABC" w:rsidP="00082ABC">
      <w:pPr>
        <w:jc w:val="both"/>
        <w:rPr>
          <w:b/>
          <w:bCs/>
        </w:rPr>
      </w:pPr>
      <w:r w:rsidRPr="00082ABC">
        <w:rPr>
          <w:b/>
          <w:bCs/>
        </w:rPr>
        <w:t>Snížená cena pro</w:t>
      </w:r>
      <w:r>
        <w:rPr>
          <w:b/>
          <w:bCs/>
        </w:rPr>
        <w:t xml:space="preserve"> všechna cenová pásma</w:t>
      </w:r>
      <w:r w:rsidRPr="00082ABC">
        <w:rPr>
          <w:b/>
          <w:bCs/>
        </w:rPr>
        <w:t>:</w:t>
      </w:r>
    </w:p>
    <w:p w14:paraId="5D43A674" w14:textId="77777777" w:rsidR="00082ABC" w:rsidRPr="00082ABC" w:rsidRDefault="00082ABC" w:rsidP="00082ABC">
      <w:pPr>
        <w:jc w:val="both"/>
        <w:rPr>
          <w:b/>
          <w:bCs/>
        </w:rPr>
      </w:pPr>
    </w:p>
    <w:p w14:paraId="07559BE4" w14:textId="40A6B334" w:rsidR="0045724F" w:rsidRDefault="00652CE2">
      <w:pPr>
        <w:jc w:val="both"/>
      </w:pPr>
      <w:r>
        <w:t>P</w:t>
      </w:r>
      <w:r w:rsidR="005F7598">
        <w:t>rvní vozidlo fyzické osoby, která má místo trvalého pobytu ve vymezené oblasti</w:t>
      </w:r>
      <w:r w:rsidRPr="00E92463">
        <w:rPr>
          <w:color w:val="00B050"/>
        </w:rPr>
        <w:t>.</w:t>
      </w:r>
    </w:p>
    <w:p w14:paraId="7A4A34F1" w14:textId="77777777" w:rsidR="006F3E0A" w:rsidRDefault="006F3E0A" w:rsidP="00082ABC">
      <w:pPr>
        <w:tabs>
          <w:tab w:val="left" w:pos="1560"/>
          <w:tab w:val="decimal" w:pos="6946"/>
        </w:tabs>
        <w:jc w:val="both"/>
      </w:pPr>
    </w:p>
    <w:p w14:paraId="0BDE0DD2" w14:textId="77777777" w:rsidR="0045724F" w:rsidRDefault="005F7598" w:rsidP="00082ABC">
      <w:pPr>
        <w:tabs>
          <w:tab w:val="left" w:pos="1560"/>
          <w:tab w:val="decimal" w:pos="6946"/>
        </w:tabs>
        <w:jc w:val="both"/>
      </w:pPr>
      <w:r>
        <w:tab/>
        <w:t>roční</w:t>
      </w:r>
      <w:r>
        <w:tab/>
      </w:r>
      <w:r w:rsidR="00047001">
        <w:t>6</w:t>
      </w:r>
      <w:r w:rsidR="000E390D">
        <w:t>00</w:t>
      </w:r>
      <w:r>
        <w:t>,- Kč</w:t>
      </w:r>
    </w:p>
    <w:p w14:paraId="60C4E5F6" w14:textId="77777777" w:rsidR="00085558" w:rsidRDefault="005F7598" w:rsidP="00082ABC">
      <w:pPr>
        <w:tabs>
          <w:tab w:val="left" w:pos="1560"/>
          <w:tab w:val="decimal" w:pos="6946"/>
        </w:tabs>
        <w:jc w:val="both"/>
      </w:pPr>
      <w:r>
        <w:tab/>
        <w:t>pololetní</w:t>
      </w:r>
      <w:r>
        <w:tab/>
      </w:r>
      <w:r w:rsidR="00047001">
        <w:t>3</w:t>
      </w:r>
      <w:r w:rsidR="000E390D">
        <w:t>0</w:t>
      </w:r>
      <w:r>
        <w:t>0,- Kč</w:t>
      </w:r>
    </w:p>
    <w:p w14:paraId="7CB702CD" w14:textId="77777777" w:rsidR="0045724F" w:rsidRDefault="00085558" w:rsidP="00082ABC">
      <w:pPr>
        <w:tabs>
          <w:tab w:val="left" w:pos="1560"/>
          <w:tab w:val="decimal" w:pos="6946"/>
        </w:tabs>
        <w:jc w:val="both"/>
      </w:pPr>
      <w:r>
        <w:tab/>
        <w:t>čtvrtletní</w:t>
      </w:r>
      <w:r>
        <w:tab/>
      </w:r>
      <w:r w:rsidR="00047001">
        <w:t>15</w:t>
      </w:r>
      <w:r>
        <w:t>0,- Kč</w:t>
      </w:r>
    </w:p>
    <w:p w14:paraId="13F37D05" w14:textId="77777777" w:rsidR="00176F6A" w:rsidRDefault="00176F6A">
      <w:r>
        <w:br w:type="page"/>
      </w:r>
    </w:p>
    <w:p w14:paraId="7F0FD6BE" w14:textId="4ABC5DA0" w:rsidR="0045724F" w:rsidRPr="00AC5ED5" w:rsidRDefault="00652CE2">
      <w:pPr>
        <w:jc w:val="both"/>
        <w:rPr>
          <w:color w:val="000000" w:themeColor="text1"/>
        </w:rPr>
      </w:pPr>
      <w:r w:rsidRPr="00AC5ED5">
        <w:rPr>
          <w:color w:val="000000" w:themeColor="text1"/>
        </w:rPr>
        <w:lastRenderedPageBreak/>
        <w:t>První vozidlo fyzické osoby starší 65 let</w:t>
      </w:r>
      <w:r w:rsidR="005F7598" w:rsidRPr="00AC5ED5">
        <w:rPr>
          <w:color w:val="000000" w:themeColor="text1"/>
        </w:rPr>
        <w:t xml:space="preserve">, </w:t>
      </w:r>
      <w:r w:rsidR="00487243" w:rsidRPr="00AC5ED5">
        <w:rPr>
          <w:color w:val="000000" w:themeColor="text1"/>
        </w:rPr>
        <w:t xml:space="preserve">nebo držitele průkazu ZTP, ZTP-P, </w:t>
      </w:r>
      <w:r w:rsidR="005F7598" w:rsidRPr="00AC5ED5">
        <w:rPr>
          <w:color w:val="000000" w:themeColor="text1"/>
        </w:rPr>
        <w:t>která má místo trvalého pobytu ve vymezené oblasti</w:t>
      </w:r>
      <w:r w:rsidR="006F3E0A" w:rsidRPr="00AC5ED5">
        <w:rPr>
          <w:color w:val="000000" w:themeColor="text1"/>
        </w:rPr>
        <w:t xml:space="preserve"> (parkovací oprávnění musí být vydáno na SPZ/RZ).</w:t>
      </w:r>
      <w:r w:rsidR="005F7598" w:rsidRPr="00AC5ED5">
        <w:rPr>
          <w:color w:val="000000" w:themeColor="text1"/>
        </w:rPr>
        <w:t xml:space="preserve"> </w:t>
      </w:r>
    </w:p>
    <w:p w14:paraId="1DAE447E" w14:textId="77777777" w:rsidR="006F3E0A" w:rsidRPr="00AC5ED5" w:rsidRDefault="006F3E0A" w:rsidP="00082ABC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</w:p>
    <w:p w14:paraId="418646DA" w14:textId="77777777" w:rsidR="0045724F" w:rsidRPr="00AC5ED5" w:rsidRDefault="005F7598" w:rsidP="00082ABC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roční</w:t>
      </w:r>
      <w:r w:rsidRPr="00AC5ED5">
        <w:rPr>
          <w:color w:val="000000" w:themeColor="text1"/>
        </w:rPr>
        <w:tab/>
      </w:r>
      <w:r w:rsidR="00A022ED" w:rsidRPr="00AC5ED5">
        <w:rPr>
          <w:color w:val="000000" w:themeColor="text1"/>
        </w:rPr>
        <w:t>180</w:t>
      </w:r>
      <w:r w:rsidRPr="00AC5ED5">
        <w:rPr>
          <w:color w:val="000000" w:themeColor="text1"/>
        </w:rPr>
        <w:t>,- Kč</w:t>
      </w:r>
    </w:p>
    <w:p w14:paraId="5758F20F" w14:textId="77777777" w:rsidR="0045724F" w:rsidRPr="00AC5ED5" w:rsidRDefault="005F7598" w:rsidP="00082ABC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pololetní</w:t>
      </w:r>
      <w:r w:rsidRPr="00AC5ED5">
        <w:rPr>
          <w:color w:val="000000" w:themeColor="text1"/>
        </w:rPr>
        <w:tab/>
      </w:r>
      <w:r w:rsidR="00A022ED" w:rsidRPr="00AC5ED5">
        <w:rPr>
          <w:color w:val="000000" w:themeColor="text1"/>
        </w:rPr>
        <w:t>90</w:t>
      </w:r>
      <w:r w:rsidRPr="00AC5ED5">
        <w:rPr>
          <w:color w:val="000000" w:themeColor="text1"/>
        </w:rPr>
        <w:t>,- Kč</w:t>
      </w:r>
    </w:p>
    <w:p w14:paraId="0A4B13A0" w14:textId="77777777" w:rsidR="00085558" w:rsidRPr="00AC5ED5" w:rsidRDefault="00085558" w:rsidP="00082ABC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čtvrtletní</w:t>
      </w:r>
      <w:r w:rsidRPr="00AC5ED5">
        <w:rPr>
          <w:color w:val="000000" w:themeColor="text1"/>
        </w:rPr>
        <w:tab/>
      </w:r>
      <w:r w:rsidR="003D1B45" w:rsidRPr="00AC5ED5">
        <w:rPr>
          <w:color w:val="000000" w:themeColor="text1"/>
        </w:rPr>
        <w:t>45</w:t>
      </w:r>
      <w:r w:rsidRPr="00AC5ED5">
        <w:rPr>
          <w:color w:val="000000" w:themeColor="text1"/>
        </w:rPr>
        <w:t>,- Kč</w:t>
      </w:r>
    </w:p>
    <w:p w14:paraId="7D3CA35C" w14:textId="77777777" w:rsidR="00652CE2" w:rsidRPr="00AC5ED5" w:rsidRDefault="00652CE2" w:rsidP="00652CE2">
      <w:pPr>
        <w:jc w:val="both"/>
        <w:rPr>
          <w:color w:val="000000" w:themeColor="text1"/>
        </w:rPr>
      </w:pPr>
    </w:p>
    <w:p w14:paraId="211B9D25" w14:textId="0E5245F9" w:rsidR="00E92463" w:rsidRPr="00AC5ED5" w:rsidRDefault="002A2EA8" w:rsidP="00652CE2">
      <w:pPr>
        <w:jc w:val="both"/>
        <w:rPr>
          <w:color w:val="000000" w:themeColor="text1"/>
        </w:rPr>
      </w:pPr>
      <w:r w:rsidRPr="00AC5ED5">
        <w:rPr>
          <w:color w:val="000000" w:themeColor="text1"/>
        </w:rPr>
        <w:t>D</w:t>
      </w:r>
      <w:r w:rsidR="00652CE2" w:rsidRPr="00AC5ED5">
        <w:rPr>
          <w:color w:val="000000" w:themeColor="text1"/>
        </w:rPr>
        <w:t>ruhé vozidlo fyzické osoby, která má místo trvalého pobytu ve vymezené oblasti</w:t>
      </w:r>
      <w:r w:rsidR="00E92463" w:rsidRPr="00AC5ED5">
        <w:rPr>
          <w:color w:val="000000" w:themeColor="text1"/>
        </w:rPr>
        <w:t>.</w:t>
      </w:r>
      <w:r w:rsidR="00652CE2" w:rsidRPr="00AC5ED5">
        <w:rPr>
          <w:color w:val="000000" w:themeColor="text1"/>
        </w:rPr>
        <w:t xml:space="preserve"> </w:t>
      </w:r>
      <w:r w:rsidR="006F3E0A" w:rsidRPr="00AC5ED5">
        <w:rPr>
          <w:color w:val="000000" w:themeColor="text1"/>
        </w:rPr>
        <w:t xml:space="preserve"> </w:t>
      </w:r>
    </w:p>
    <w:p w14:paraId="055310D1" w14:textId="77777777" w:rsidR="00E92463" w:rsidRDefault="00E92463" w:rsidP="00652CE2">
      <w:pPr>
        <w:jc w:val="both"/>
      </w:pPr>
    </w:p>
    <w:p w14:paraId="00CFE124" w14:textId="5635A5F6" w:rsidR="00E92463" w:rsidRPr="00AC5ED5" w:rsidRDefault="00E92463" w:rsidP="00E92463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roční</w:t>
      </w:r>
      <w:r w:rsidRPr="00AC5ED5">
        <w:rPr>
          <w:color w:val="000000" w:themeColor="text1"/>
        </w:rPr>
        <w:tab/>
        <w:t>3</w:t>
      </w:r>
      <w:r w:rsidR="00D357E0" w:rsidRPr="00AC5ED5">
        <w:rPr>
          <w:color w:val="000000" w:themeColor="text1"/>
        </w:rPr>
        <w:t> </w:t>
      </w:r>
      <w:r w:rsidRPr="00AC5ED5">
        <w:rPr>
          <w:color w:val="000000" w:themeColor="text1"/>
        </w:rPr>
        <w:t>500</w:t>
      </w:r>
      <w:r w:rsidR="00D357E0" w:rsidRPr="00AC5ED5">
        <w:rPr>
          <w:color w:val="000000" w:themeColor="text1"/>
        </w:rPr>
        <w:t xml:space="preserve">,- </w:t>
      </w:r>
      <w:r w:rsidRPr="00AC5ED5">
        <w:rPr>
          <w:color w:val="000000" w:themeColor="text1"/>
        </w:rPr>
        <w:t>Kč</w:t>
      </w:r>
    </w:p>
    <w:p w14:paraId="41FCD6FA" w14:textId="3921D58A" w:rsidR="00E92463" w:rsidRPr="00AC5ED5" w:rsidRDefault="00E92463" w:rsidP="00E92463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pololetní</w:t>
      </w:r>
      <w:r w:rsidRPr="00AC5ED5">
        <w:rPr>
          <w:color w:val="000000" w:themeColor="text1"/>
        </w:rPr>
        <w:tab/>
        <w:t>1 750,- Kč</w:t>
      </w:r>
    </w:p>
    <w:p w14:paraId="1BD017CE" w14:textId="7B9CF694" w:rsidR="00E92463" w:rsidRPr="00AC5ED5" w:rsidRDefault="00E92463" w:rsidP="00E92463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čtvrtletní</w:t>
      </w:r>
      <w:r w:rsidRPr="00AC5ED5">
        <w:rPr>
          <w:color w:val="000000" w:themeColor="text1"/>
        </w:rPr>
        <w:tab/>
        <w:t>875,- Kč</w:t>
      </w:r>
    </w:p>
    <w:p w14:paraId="5EB8CD9C" w14:textId="77777777" w:rsidR="00E92463" w:rsidRPr="00AC5ED5" w:rsidRDefault="00E92463" w:rsidP="00652CE2">
      <w:pPr>
        <w:jc w:val="both"/>
        <w:rPr>
          <w:color w:val="000000" w:themeColor="text1"/>
        </w:rPr>
      </w:pPr>
    </w:p>
    <w:p w14:paraId="1A53F025" w14:textId="3B6865F7" w:rsidR="00652CE2" w:rsidRDefault="00E92463" w:rsidP="00652CE2">
      <w:pPr>
        <w:jc w:val="both"/>
      </w:pPr>
      <w:r w:rsidRPr="00AC5ED5">
        <w:rPr>
          <w:color w:val="000000" w:themeColor="text1"/>
        </w:rPr>
        <w:t>P</w:t>
      </w:r>
      <w:r w:rsidR="006F3E0A" w:rsidRPr="00AC5ED5">
        <w:rPr>
          <w:color w:val="000000" w:themeColor="text1"/>
        </w:rPr>
        <w:t xml:space="preserve">rvní vozidlo provozované právnickou nebo fyzickou osobou za účelem podnikání podle </w:t>
      </w:r>
      <w:r w:rsidR="006F3E0A" w:rsidRPr="00082ABC">
        <w:t>zvláštního právního předpisu</w:t>
      </w:r>
      <w:r w:rsidR="00780971">
        <w:rPr>
          <w:rStyle w:val="Znakapoznpodarou"/>
        </w:rPr>
        <w:footnoteReference w:id="1"/>
      </w:r>
      <w:r w:rsidR="006F3E0A" w:rsidRPr="00082ABC">
        <w:t xml:space="preserve">, která má sídlo nebo provozovnu ve vymezené oblasti hlavního města Prahy, nebo pro první vozidlo fyzické osoby, která je vlastníkem nemovitosti ve vymezené oblasti hlavního města Prahy (parkovací </w:t>
      </w:r>
      <w:r w:rsidR="006F3E0A">
        <w:t>oprávnění</w:t>
      </w:r>
      <w:r w:rsidR="006F3E0A" w:rsidRPr="00082ABC">
        <w:t xml:space="preserve"> musí být vydán</w:t>
      </w:r>
      <w:r w:rsidR="006F3E0A">
        <w:t>o na SPZ/RZ).</w:t>
      </w:r>
    </w:p>
    <w:p w14:paraId="21306853" w14:textId="77777777" w:rsidR="006F3E0A" w:rsidRDefault="006F3E0A" w:rsidP="00652CE2">
      <w:pPr>
        <w:tabs>
          <w:tab w:val="left" w:pos="1560"/>
          <w:tab w:val="decimal" w:pos="6946"/>
        </w:tabs>
        <w:jc w:val="both"/>
      </w:pPr>
    </w:p>
    <w:p w14:paraId="591F0A6C" w14:textId="790B9B47" w:rsidR="00652CE2" w:rsidRDefault="00652CE2" w:rsidP="00652CE2">
      <w:pPr>
        <w:tabs>
          <w:tab w:val="left" w:pos="1560"/>
          <w:tab w:val="decimal" w:pos="6946"/>
        </w:tabs>
        <w:jc w:val="both"/>
      </w:pPr>
      <w:r>
        <w:tab/>
        <w:t>roční</w:t>
      </w:r>
      <w:r>
        <w:tab/>
      </w:r>
      <w:r w:rsidR="00B813DB">
        <w:t>3 5</w:t>
      </w:r>
      <w:r>
        <w:t>00,- Kč</w:t>
      </w:r>
    </w:p>
    <w:p w14:paraId="16DFBC03" w14:textId="338A295A" w:rsidR="00652CE2" w:rsidRDefault="00047001" w:rsidP="00652CE2">
      <w:pPr>
        <w:tabs>
          <w:tab w:val="left" w:pos="1560"/>
          <w:tab w:val="decimal" w:pos="6946"/>
        </w:tabs>
        <w:jc w:val="both"/>
      </w:pPr>
      <w:r>
        <w:tab/>
        <w:t>pololetní</w:t>
      </w:r>
      <w:r>
        <w:tab/>
      </w:r>
      <w:r w:rsidR="00B813DB">
        <w:t>1 750</w:t>
      </w:r>
      <w:r w:rsidR="00652CE2">
        <w:t>,- Kč</w:t>
      </w:r>
    </w:p>
    <w:p w14:paraId="203C6C59" w14:textId="678F9278" w:rsidR="00652CE2" w:rsidRDefault="00047001" w:rsidP="00652CE2">
      <w:pPr>
        <w:tabs>
          <w:tab w:val="left" w:pos="1560"/>
          <w:tab w:val="decimal" w:pos="6946"/>
        </w:tabs>
        <w:jc w:val="both"/>
      </w:pPr>
      <w:r>
        <w:tab/>
        <w:t>čtvrtletní</w:t>
      </w:r>
      <w:r>
        <w:tab/>
      </w:r>
      <w:r w:rsidR="00B813DB">
        <w:t>875</w:t>
      </w:r>
      <w:r w:rsidR="003B30B0">
        <w:t>,</w:t>
      </w:r>
      <w:r w:rsidR="00652CE2">
        <w:t>- Kč</w:t>
      </w:r>
    </w:p>
    <w:p w14:paraId="5AF110A9" w14:textId="056C2F7B" w:rsidR="002D7E77" w:rsidRDefault="002D7E77" w:rsidP="00652CE2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 w:rsidRPr="00AC5ED5">
        <w:rPr>
          <w:color w:val="000000" w:themeColor="text1"/>
        </w:rPr>
        <w:tab/>
        <w:t>měsíční</w:t>
      </w:r>
      <w:r w:rsidRPr="00AC5ED5">
        <w:rPr>
          <w:color w:val="000000" w:themeColor="text1"/>
        </w:rPr>
        <w:tab/>
      </w:r>
      <w:r w:rsidR="00C0291A">
        <w:rPr>
          <w:color w:val="000000" w:themeColor="text1"/>
        </w:rPr>
        <w:t>450</w:t>
      </w:r>
      <w:r w:rsidRPr="00AC5ED5">
        <w:rPr>
          <w:color w:val="000000" w:themeColor="text1"/>
        </w:rPr>
        <w:t>,- Kč</w:t>
      </w:r>
    </w:p>
    <w:p w14:paraId="22663F6E" w14:textId="4B0B5669" w:rsidR="00C0291A" w:rsidRPr="00AC5ED5" w:rsidRDefault="00C0291A" w:rsidP="00652CE2">
      <w:pPr>
        <w:tabs>
          <w:tab w:val="left" w:pos="1560"/>
          <w:tab w:val="decimal" w:pos="694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týdenní</w:t>
      </w:r>
      <w:r>
        <w:rPr>
          <w:color w:val="000000" w:themeColor="text1"/>
        </w:rPr>
        <w:tab/>
        <w:t>125,- Kč</w:t>
      </w:r>
    </w:p>
    <w:p w14:paraId="543A38CC" w14:textId="77777777" w:rsidR="00652CE2" w:rsidRDefault="00652CE2" w:rsidP="00652CE2">
      <w:pPr>
        <w:jc w:val="both"/>
      </w:pPr>
    </w:p>
    <w:p w14:paraId="58A1BF9A" w14:textId="77777777" w:rsidR="00C4117B" w:rsidRPr="00C4117B" w:rsidRDefault="00C4117B" w:rsidP="006B1A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Cs w:val="20"/>
        </w:rPr>
      </w:pPr>
      <w:r w:rsidRPr="00C4117B">
        <w:rPr>
          <w:b/>
          <w:color w:val="000000" w:themeColor="text1"/>
          <w:szCs w:val="20"/>
        </w:rPr>
        <w:t>Vrácení nevyužité</w:t>
      </w:r>
      <w:r w:rsidRPr="00C74819">
        <w:rPr>
          <w:b/>
          <w:color w:val="000000" w:themeColor="text1"/>
          <w:szCs w:val="20"/>
        </w:rPr>
        <w:t>ho</w:t>
      </w:r>
      <w:r w:rsidRPr="00C4117B">
        <w:rPr>
          <w:b/>
          <w:color w:val="000000" w:themeColor="text1"/>
          <w:szCs w:val="20"/>
        </w:rPr>
        <w:t xml:space="preserve"> parkovací</w:t>
      </w:r>
      <w:r w:rsidRPr="00C74819">
        <w:rPr>
          <w:b/>
          <w:color w:val="000000" w:themeColor="text1"/>
          <w:szCs w:val="20"/>
        </w:rPr>
        <w:t>ho</w:t>
      </w:r>
      <w:r w:rsidRPr="00C4117B">
        <w:rPr>
          <w:b/>
          <w:color w:val="000000" w:themeColor="text1"/>
          <w:szCs w:val="20"/>
        </w:rPr>
        <w:t xml:space="preserve"> </w:t>
      </w:r>
      <w:r w:rsidRPr="00C74819">
        <w:rPr>
          <w:b/>
          <w:color w:val="000000" w:themeColor="text1"/>
          <w:szCs w:val="20"/>
        </w:rPr>
        <w:t>oprávnění</w:t>
      </w:r>
      <w:r w:rsidR="006F3E0A">
        <w:rPr>
          <w:b/>
          <w:color w:val="000000" w:themeColor="text1"/>
          <w:szCs w:val="20"/>
        </w:rPr>
        <w:t xml:space="preserve"> </w:t>
      </w:r>
      <w:r w:rsidR="006F3E0A" w:rsidRPr="002C29B8">
        <w:rPr>
          <w:bCs/>
          <w:szCs w:val="20"/>
        </w:rPr>
        <w:t>vydan</w:t>
      </w:r>
      <w:r w:rsidR="006F3E0A">
        <w:rPr>
          <w:bCs/>
          <w:szCs w:val="20"/>
        </w:rPr>
        <w:t>é</w:t>
      </w:r>
      <w:r w:rsidR="00563CD0">
        <w:rPr>
          <w:bCs/>
          <w:szCs w:val="20"/>
        </w:rPr>
        <w:t>ho</w:t>
      </w:r>
      <w:r w:rsidR="006F3E0A" w:rsidRPr="002C29B8">
        <w:rPr>
          <w:bCs/>
          <w:szCs w:val="20"/>
        </w:rPr>
        <w:t xml:space="preserve"> na výdejně parkovacích oprávnění</w:t>
      </w:r>
      <w:r w:rsidRPr="00C4117B">
        <w:rPr>
          <w:b/>
          <w:color w:val="000000" w:themeColor="text1"/>
          <w:szCs w:val="20"/>
        </w:rPr>
        <w:t>:</w:t>
      </w:r>
    </w:p>
    <w:p w14:paraId="50405A73" w14:textId="77777777" w:rsidR="00C4117B" w:rsidRPr="00C4117B" w:rsidRDefault="00C4117B" w:rsidP="006B1AF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0"/>
        </w:rPr>
      </w:pPr>
    </w:p>
    <w:p w14:paraId="4FDAD002" w14:textId="77777777" w:rsidR="00C4117B" w:rsidRPr="00C4117B" w:rsidRDefault="00C4117B" w:rsidP="006B1AF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0"/>
        </w:rPr>
      </w:pPr>
      <w:r w:rsidRPr="00C4117B">
        <w:rPr>
          <w:color w:val="000000" w:themeColor="text1"/>
          <w:szCs w:val="20"/>
        </w:rPr>
        <w:t>Vrací se část původní ceny parkovací</w:t>
      </w:r>
      <w:r w:rsidRPr="00C74819">
        <w:rPr>
          <w:color w:val="000000" w:themeColor="text1"/>
          <w:szCs w:val="20"/>
        </w:rPr>
        <w:t>ho</w:t>
      </w:r>
      <w:r w:rsidRPr="00C4117B">
        <w:rPr>
          <w:color w:val="000000" w:themeColor="text1"/>
          <w:szCs w:val="20"/>
        </w:rPr>
        <w:t xml:space="preserve"> </w:t>
      </w:r>
      <w:r w:rsidRPr="00C74819">
        <w:rPr>
          <w:color w:val="000000" w:themeColor="text1"/>
          <w:szCs w:val="20"/>
        </w:rPr>
        <w:t>oprávnění</w:t>
      </w:r>
      <w:r w:rsidRPr="00C4117B">
        <w:rPr>
          <w:color w:val="000000" w:themeColor="text1"/>
          <w:szCs w:val="20"/>
        </w:rPr>
        <w:t xml:space="preserve"> za celé běžné nezapočaté měsíce zbývající do</w:t>
      </w:r>
      <w:r w:rsidRPr="00C74819">
        <w:rPr>
          <w:color w:val="000000" w:themeColor="text1"/>
          <w:szCs w:val="20"/>
        </w:rPr>
        <w:t xml:space="preserve"> konce platnosti parkovacího oprávnění</w:t>
      </w:r>
      <w:r w:rsidRPr="00C4117B">
        <w:rPr>
          <w:color w:val="000000" w:themeColor="text1"/>
          <w:szCs w:val="20"/>
        </w:rPr>
        <w:t>.</w:t>
      </w:r>
    </w:p>
    <w:p w14:paraId="186ABB97" w14:textId="77777777" w:rsidR="00387EF0" w:rsidRDefault="00387EF0" w:rsidP="00387EF0">
      <w:pPr>
        <w:tabs>
          <w:tab w:val="decimal" w:pos="694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Cs w:val="20"/>
        </w:rPr>
      </w:pPr>
    </w:p>
    <w:p w14:paraId="51AB41AF" w14:textId="77777777" w:rsidR="00BC2681" w:rsidRDefault="00387EF0" w:rsidP="00387EF0">
      <w:pPr>
        <w:tabs>
          <w:tab w:val="decimal" w:pos="694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0"/>
        </w:rPr>
      </w:pPr>
      <w:r w:rsidRPr="00C4117B">
        <w:rPr>
          <w:b/>
          <w:color w:val="000000" w:themeColor="text1"/>
          <w:szCs w:val="20"/>
        </w:rPr>
        <w:t>Manipulační poplatek</w:t>
      </w:r>
      <w:r w:rsidRPr="00C4117B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za </w:t>
      </w:r>
      <w:r w:rsidRPr="00C4117B">
        <w:rPr>
          <w:color w:val="000000" w:themeColor="text1"/>
          <w:szCs w:val="20"/>
        </w:rPr>
        <w:t xml:space="preserve">mimořádnou </w:t>
      </w:r>
      <w:r w:rsidRPr="00C74819">
        <w:rPr>
          <w:color w:val="000000" w:themeColor="text1"/>
          <w:szCs w:val="20"/>
        </w:rPr>
        <w:t>změnu</w:t>
      </w:r>
      <w:r w:rsidRPr="00C4117B">
        <w:rPr>
          <w:color w:val="000000" w:themeColor="text1"/>
          <w:szCs w:val="20"/>
        </w:rPr>
        <w:t xml:space="preserve"> parkovací</w:t>
      </w:r>
      <w:r w:rsidRPr="00C74819">
        <w:rPr>
          <w:color w:val="000000" w:themeColor="text1"/>
          <w:szCs w:val="20"/>
        </w:rPr>
        <w:t>ho</w:t>
      </w:r>
      <w:r w:rsidRPr="00C4117B">
        <w:rPr>
          <w:color w:val="000000" w:themeColor="text1"/>
          <w:szCs w:val="20"/>
        </w:rPr>
        <w:t xml:space="preserve"> </w:t>
      </w:r>
      <w:r w:rsidRPr="00C74819">
        <w:rPr>
          <w:color w:val="000000" w:themeColor="text1"/>
          <w:szCs w:val="20"/>
        </w:rPr>
        <w:t>oprávnění</w:t>
      </w:r>
      <w:r>
        <w:rPr>
          <w:color w:val="000000" w:themeColor="text1"/>
          <w:szCs w:val="20"/>
        </w:rPr>
        <w:t xml:space="preserve"> nebo</w:t>
      </w:r>
      <w:r w:rsidRPr="00C4117B">
        <w:rPr>
          <w:color w:val="000000" w:themeColor="text1"/>
          <w:szCs w:val="20"/>
        </w:rPr>
        <w:t xml:space="preserve"> vrácení nevyužité</w:t>
      </w:r>
      <w:r w:rsidRPr="00C74819">
        <w:rPr>
          <w:color w:val="000000" w:themeColor="text1"/>
          <w:szCs w:val="20"/>
        </w:rPr>
        <w:t>ho</w:t>
      </w:r>
      <w:r w:rsidRPr="00C4117B">
        <w:rPr>
          <w:color w:val="000000" w:themeColor="text1"/>
          <w:szCs w:val="20"/>
        </w:rPr>
        <w:t xml:space="preserve"> parkovací</w:t>
      </w:r>
      <w:r w:rsidRPr="00C74819">
        <w:rPr>
          <w:color w:val="000000" w:themeColor="text1"/>
          <w:szCs w:val="20"/>
        </w:rPr>
        <w:t>ho</w:t>
      </w:r>
      <w:r w:rsidRPr="00C4117B">
        <w:rPr>
          <w:color w:val="000000" w:themeColor="text1"/>
          <w:szCs w:val="20"/>
        </w:rPr>
        <w:t xml:space="preserve"> </w:t>
      </w:r>
      <w:r w:rsidRPr="00C74819">
        <w:rPr>
          <w:color w:val="000000" w:themeColor="text1"/>
          <w:szCs w:val="20"/>
        </w:rPr>
        <w:t>oprávnění proveden</w:t>
      </w:r>
      <w:r>
        <w:rPr>
          <w:color w:val="000000" w:themeColor="text1"/>
          <w:szCs w:val="20"/>
        </w:rPr>
        <w:t>ém</w:t>
      </w:r>
      <w:r w:rsidRPr="00C74819">
        <w:rPr>
          <w:color w:val="000000" w:themeColor="text1"/>
          <w:szCs w:val="20"/>
        </w:rPr>
        <w:t xml:space="preserve"> na výdejně</w:t>
      </w:r>
      <w:r w:rsidRPr="00C4117B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parkovacích oprávnění </w:t>
      </w:r>
    </w:p>
    <w:p w14:paraId="3203A866" w14:textId="77777777" w:rsidR="00387EF0" w:rsidRPr="00C4117B" w:rsidRDefault="00387EF0" w:rsidP="00387EF0">
      <w:pPr>
        <w:tabs>
          <w:tab w:val="decimal" w:pos="694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 w:rsidRPr="00C4117B">
        <w:rPr>
          <w:color w:val="000000" w:themeColor="text1"/>
          <w:szCs w:val="20"/>
        </w:rPr>
        <w:t>100,-Kč</w:t>
      </w:r>
    </w:p>
    <w:p w14:paraId="51601204" w14:textId="77777777" w:rsidR="00387EF0" w:rsidRDefault="00387EF0" w:rsidP="00387EF0">
      <w:pPr>
        <w:jc w:val="both"/>
      </w:pPr>
    </w:p>
    <w:p w14:paraId="6DA00FCC" w14:textId="77777777" w:rsidR="00047001" w:rsidRDefault="00047001">
      <w:pPr>
        <w:rPr>
          <w:color w:val="FF0000"/>
          <w:sz w:val="32"/>
          <w:szCs w:val="32"/>
        </w:rPr>
      </w:pPr>
    </w:p>
    <w:sectPr w:rsidR="00047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128C0" w14:textId="77777777" w:rsidR="00D377D2" w:rsidRDefault="00D377D2" w:rsidP="00DB7F8E">
      <w:r>
        <w:separator/>
      </w:r>
    </w:p>
  </w:endnote>
  <w:endnote w:type="continuationSeparator" w:id="0">
    <w:p w14:paraId="779E4452" w14:textId="77777777" w:rsidR="00D377D2" w:rsidRDefault="00D377D2" w:rsidP="00DB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1460" w14:textId="77777777" w:rsidR="00376C6D" w:rsidRDefault="00376C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0481" w14:textId="77777777" w:rsidR="00376C6D" w:rsidRDefault="00376C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5552" w14:textId="77777777" w:rsidR="00376C6D" w:rsidRDefault="00376C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6881" w14:textId="77777777" w:rsidR="00D377D2" w:rsidRDefault="00D377D2" w:rsidP="00DB7F8E">
      <w:r>
        <w:separator/>
      </w:r>
    </w:p>
  </w:footnote>
  <w:footnote w:type="continuationSeparator" w:id="0">
    <w:p w14:paraId="24D50CE8" w14:textId="77777777" w:rsidR="00D377D2" w:rsidRDefault="00D377D2" w:rsidP="00DB7F8E">
      <w:r>
        <w:continuationSeparator/>
      </w:r>
    </w:p>
  </w:footnote>
  <w:footnote w:id="1">
    <w:p w14:paraId="74F404FB" w14:textId="77777777" w:rsidR="00780971" w:rsidRDefault="00780971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 (živnostenský zákon),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ABFAE" w14:textId="77777777" w:rsidR="00376C6D" w:rsidRDefault="00376C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CD7F" w14:textId="31475765" w:rsidR="00376C6D" w:rsidRDefault="00376C6D">
    <w:pPr>
      <w:pStyle w:val="Zhlav"/>
    </w:pPr>
    <w:r>
      <w:rPr>
        <w:i/>
      </w:rPr>
      <w:t xml:space="preserve">Příloha č. 2 k usnesení Rady hl. m. Prahy č. </w:t>
    </w:r>
    <w:proofErr w:type="spellStart"/>
    <w:r>
      <w:rPr>
        <w:i/>
      </w:rPr>
      <w:t>xy</w:t>
    </w:r>
    <w:proofErr w:type="spellEnd"/>
  </w:p>
  <w:p w14:paraId="1E4C16D6" w14:textId="77777777" w:rsidR="00376C6D" w:rsidRDefault="00376C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848DF" w14:textId="77777777" w:rsidR="00376C6D" w:rsidRDefault="00376C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350"/>
    <w:multiLevelType w:val="hybridMultilevel"/>
    <w:tmpl w:val="62C6E282"/>
    <w:lvl w:ilvl="0" w:tplc="6E228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3F4D"/>
    <w:multiLevelType w:val="hybridMultilevel"/>
    <w:tmpl w:val="509A9194"/>
    <w:lvl w:ilvl="0" w:tplc="5E2C26CA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D45"/>
    <w:multiLevelType w:val="hybridMultilevel"/>
    <w:tmpl w:val="E5605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D"/>
    <w:rsid w:val="00047001"/>
    <w:rsid w:val="0006194A"/>
    <w:rsid w:val="00082ABC"/>
    <w:rsid w:val="00085558"/>
    <w:rsid w:val="000A7BDC"/>
    <w:rsid w:val="000B0D6E"/>
    <w:rsid w:val="000E390D"/>
    <w:rsid w:val="00176F6A"/>
    <w:rsid w:val="00197B17"/>
    <w:rsid w:val="001D462C"/>
    <w:rsid w:val="001D478C"/>
    <w:rsid w:val="001E540A"/>
    <w:rsid w:val="0021793E"/>
    <w:rsid w:val="002A2EA8"/>
    <w:rsid w:val="002A4F89"/>
    <w:rsid w:val="002C29B8"/>
    <w:rsid w:val="002D29F2"/>
    <w:rsid w:val="002D3307"/>
    <w:rsid w:val="002D7E77"/>
    <w:rsid w:val="00373559"/>
    <w:rsid w:val="00376C6D"/>
    <w:rsid w:val="00387CD1"/>
    <w:rsid w:val="00387EF0"/>
    <w:rsid w:val="003A37F0"/>
    <w:rsid w:val="003B0F8F"/>
    <w:rsid w:val="003B30B0"/>
    <w:rsid w:val="003B75FD"/>
    <w:rsid w:val="003D1B45"/>
    <w:rsid w:val="003E753C"/>
    <w:rsid w:val="003F455A"/>
    <w:rsid w:val="0045724F"/>
    <w:rsid w:val="00477CF9"/>
    <w:rsid w:val="00487243"/>
    <w:rsid w:val="00496FBB"/>
    <w:rsid w:val="00563CD0"/>
    <w:rsid w:val="005748BC"/>
    <w:rsid w:val="005855A8"/>
    <w:rsid w:val="005D4E77"/>
    <w:rsid w:val="005D784B"/>
    <w:rsid w:val="005E1387"/>
    <w:rsid w:val="005F7598"/>
    <w:rsid w:val="00635837"/>
    <w:rsid w:val="00652CE2"/>
    <w:rsid w:val="006A6885"/>
    <w:rsid w:val="006B1AFC"/>
    <w:rsid w:val="006B59D3"/>
    <w:rsid w:val="006C058C"/>
    <w:rsid w:val="006D3EF6"/>
    <w:rsid w:val="006D5405"/>
    <w:rsid w:val="006D61B2"/>
    <w:rsid w:val="006F3E0A"/>
    <w:rsid w:val="00780971"/>
    <w:rsid w:val="00795217"/>
    <w:rsid w:val="007E50D6"/>
    <w:rsid w:val="007F1E06"/>
    <w:rsid w:val="0084163B"/>
    <w:rsid w:val="008B28C5"/>
    <w:rsid w:val="0091104E"/>
    <w:rsid w:val="0095280D"/>
    <w:rsid w:val="00972647"/>
    <w:rsid w:val="00992D2F"/>
    <w:rsid w:val="009B3610"/>
    <w:rsid w:val="00A022ED"/>
    <w:rsid w:val="00A52C8C"/>
    <w:rsid w:val="00AC5ED5"/>
    <w:rsid w:val="00AD2F40"/>
    <w:rsid w:val="00AD302D"/>
    <w:rsid w:val="00B03DE2"/>
    <w:rsid w:val="00B813DB"/>
    <w:rsid w:val="00BC2681"/>
    <w:rsid w:val="00BD3D62"/>
    <w:rsid w:val="00C0291A"/>
    <w:rsid w:val="00C4117B"/>
    <w:rsid w:val="00C74819"/>
    <w:rsid w:val="00C752F9"/>
    <w:rsid w:val="00CA417F"/>
    <w:rsid w:val="00CB1CE6"/>
    <w:rsid w:val="00D25A86"/>
    <w:rsid w:val="00D357E0"/>
    <w:rsid w:val="00D377D2"/>
    <w:rsid w:val="00D87EBD"/>
    <w:rsid w:val="00DA0C92"/>
    <w:rsid w:val="00DB7F8E"/>
    <w:rsid w:val="00E359C2"/>
    <w:rsid w:val="00E92463"/>
    <w:rsid w:val="00E977CA"/>
    <w:rsid w:val="00FD1091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4FE41"/>
  <w15:docId w15:val="{A75B08D8-7728-49C0-ACD5-4375D59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03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i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11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odsazen2">
    <w:name w:val="Body Text Indent 2"/>
    <w:basedOn w:val="Normln"/>
    <w:semiHidden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7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7F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7F8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F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F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7F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7F8E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117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411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4117B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4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17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4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17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D620-AE1B-4334-BDD0-FB5F7EA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politika</vt:lpstr>
    </vt:vector>
  </TitlesOfParts>
  <Company>MHMP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politika</dc:title>
  <dc:creator>INF</dc:creator>
  <cp:lastModifiedBy>Kubátová Eva (MHMP, OKM)</cp:lastModifiedBy>
  <cp:revision>2</cp:revision>
  <cp:lastPrinted>2016-01-20T12:35:00Z</cp:lastPrinted>
  <dcterms:created xsi:type="dcterms:W3CDTF">2017-07-18T11:21:00Z</dcterms:created>
  <dcterms:modified xsi:type="dcterms:W3CDTF">2017-07-18T11:21:00Z</dcterms:modified>
</cp:coreProperties>
</file>