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8F8AA" w14:textId="77777777" w:rsidR="00B87B52" w:rsidRDefault="00B87B52" w:rsidP="000F0C05">
      <w:pPr>
        <w:keepNext/>
        <w:keepLines/>
        <w:spacing w:after="0" w:line="240" w:lineRule="auto"/>
        <w:ind w:left="714" w:hanging="147"/>
        <w:jc w:val="center"/>
        <w:outlineLvl w:val="0"/>
        <w:rPr>
          <w:rFonts w:ascii="Calibri" w:eastAsiaTheme="majorEastAsia" w:hAnsi="Calibri" w:cs="Times New Roman"/>
          <w:b/>
          <w:bCs/>
          <w:color w:val="365F91" w:themeColor="accent1" w:themeShade="BF"/>
          <w:sz w:val="28"/>
          <w:szCs w:val="28"/>
        </w:rPr>
      </w:pPr>
    </w:p>
    <w:p w14:paraId="57E2DEA2" w14:textId="77777777" w:rsidR="00440E3F" w:rsidRPr="00103AC5" w:rsidRDefault="00440E3F" w:rsidP="000F0C05">
      <w:pPr>
        <w:spacing w:after="0" w:line="240" w:lineRule="auto"/>
        <w:ind w:left="714" w:hanging="357"/>
        <w:jc w:val="center"/>
        <w:rPr>
          <w:rFonts w:ascii="Calibri" w:hAnsi="Calibri" w:cs="Times New Roman"/>
        </w:rPr>
      </w:pPr>
    </w:p>
    <w:p w14:paraId="3583E197" w14:textId="77777777" w:rsidR="00440E3F" w:rsidRPr="00103AC5" w:rsidRDefault="00440E3F" w:rsidP="000F0C05">
      <w:pPr>
        <w:spacing w:after="0" w:line="240" w:lineRule="auto"/>
        <w:ind w:left="714" w:hanging="357"/>
        <w:jc w:val="center"/>
        <w:rPr>
          <w:rFonts w:ascii="Calibri" w:hAnsi="Calibri" w:cs="Times New Roman"/>
        </w:rPr>
      </w:pPr>
    </w:p>
    <w:p w14:paraId="04E1DDDB" w14:textId="12AB6FEE" w:rsidR="00A24B88" w:rsidRPr="00B650DE" w:rsidRDefault="00626222" w:rsidP="000F0C05">
      <w:pPr>
        <w:autoSpaceDE w:val="0"/>
        <w:autoSpaceDN w:val="0"/>
        <w:adjustRightInd w:val="0"/>
        <w:spacing w:after="0" w:line="240" w:lineRule="auto"/>
        <w:jc w:val="center"/>
        <w:rPr>
          <w:rFonts w:ascii="Calibri" w:hAnsi="Calibri" w:cs="Times New Roman"/>
          <w:color w:val="000000"/>
          <w:sz w:val="28"/>
          <w:szCs w:val="28"/>
          <w:u w:val="single"/>
        </w:rPr>
      </w:pPr>
      <w:r w:rsidRPr="00B650DE">
        <w:rPr>
          <w:rFonts w:ascii="Calibri" w:hAnsi="Calibri" w:cs="Times New Roman"/>
          <w:b/>
          <w:sz w:val="28"/>
          <w:szCs w:val="28"/>
          <w:u w:val="single"/>
        </w:rPr>
        <w:t>Dotační program</w:t>
      </w:r>
      <w:r w:rsidR="00553C49">
        <w:rPr>
          <w:rFonts w:ascii="Calibri" w:hAnsi="Calibri" w:cs="Times New Roman"/>
          <w:b/>
          <w:bCs/>
          <w:color w:val="000000"/>
          <w:sz w:val="28"/>
          <w:szCs w:val="28"/>
          <w:u w:val="single"/>
        </w:rPr>
        <w:t xml:space="preserve"> </w:t>
      </w:r>
      <w:r w:rsidR="00A24B88" w:rsidRPr="00B650DE">
        <w:rPr>
          <w:rFonts w:ascii="Calibri" w:hAnsi="Calibri" w:cs="Times New Roman"/>
          <w:b/>
          <w:bCs/>
          <w:color w:val="000000"/>
          <w:sz w:val="28"/>
          <w:szCs w:val="28"/>
          <w:u w:val="single"/>
        </w:rPr>
        <w:t>hlavního města Prahy</w:t>
      </w:r>
    </w:p>
    <w:p w14:paraId="6808C1BE" w14:textId="77777777" w:rsidR="00AA5AB3" w:rsidRPr="00B650DE" w:rsidRDefault="00A24B88" w:rsidP="000F0C05">
      <w:pPr>
        <w:autoSpaceDE w:val="0"/>
        <w:autoSpaceDN w:val="0"/>
        <w:adjustRightInd w:val="0"/>
        <w:spacing w:after="0" w:line="240" w:lineRule="auto"/>
        <w:jc w:val="center"/>
        <w:rPr>
          <w:rFonts w:ascii="Calibri" w:hAnsi="Calibri" w:cs="Times New Roman"/>
          <w:b/>
          <w:bCs/>
          <w:color w:val="000000"/>
          <w:sz w:val="28"/>
          <w:szCs w:val="28"/>
          <w:u w:val="single"/>
        </w:rPr>
      </w:pPr>
      <w:r w:rsidRPr="00B650DE">
        <w:rPr>
          <w:rFonts w:ascii="Calibri" w:hAnsi="Calibri" w:cs="Times New Roman"/>
          <w:b/>
          <w:bCs/>
          <w:color w:val="000000"/>
          <w:sz w:val="28"/>
          <w:szCs w:val="28"/>
          <w:u w:val="single"/>
        </w:rPr>
        <w:t>pro vybrané d</w:t>
      </w:r>
      <w:r w:rsidR="003228A8" w:rsidRPr="00B650DE">
        <w:rPr>
          <w:rFonts w:ascii="Calibri" w:hAnsi="Calibri" w:cs="Times New Roman"/>
          <w:b/>
          <w:bCs/>
          <w:color w:val="000000"/>
          <w:sz w:val="28"/>
          <w:szCs w:val="28"/>
          <w:u w:val="single"/>
        </w:rPr>
        <w:t>ruhy sociálních služeb</w:t>
      </w:r>
      <w:r w:rsidR="00303CF8" w:rsidRPr="00B650DE">
        <w:rPr>
          <w:rFonts w:ascii="Calibri" w:hAnsi="Calibri" w:cs="Times New Roman"/>
          <w:b/>
          <w:bCs/>
          <w:color w:val="000000"/>
          <w:sz w:val="28"/>
          <w:szCs w:val="28"/>
          <w:u w:val="single"/>
        </w:rPr>
        <w:t xml:space="preserve"> </w:t>
      </w:r>
      <w:r w:rsidR="003228A8" w:rsidRPr="00B650DE">
        <w:rPr>
          <w:rFonts w:ascii="Calibri" w:hAnsi="Calibri" w:cs="Times New Roman"/>
          <w:b/>
          <w:bCs/>
          <w:color w:val="000000"/>
          <w:sz w:val="28"/>
          <w:szCs w:val="28"/>
          <w:u w:val="single"/>
        </w:rPr>
        <w:t>v rámci p</w:t>
      </w:r>
      <w:r w:rsidRPr="00B650DE">
        <w:rPr>
          <w:rFonts w:ascii="Calibri" w:hAnsi="Calibri" w:cs="Times New Roman"/>
          <w:b/>
          <w:bCs/>
          <w:color w:val="000000"/>
          <w:sz w:val="28"/>
          <w:szCs w:val="28"/>
          <w:u w:val="single"/>
        </w:rPr>
        <w:t>rojektu</w:t>
      </w:r>
      <w:r w:rsidR="00896FA2" w:rsidRPr="00B650DE">
        <w:rPr>
          <w:rFonts w:ascii="Calibri" w:hAnsi="Calibri" w:cs="Times New Roman"/>
          <w:b/>
          <w:bCs/>
          <w:color w:val="000000"/>
          <w:sz w:val="28"/>
          <w:szCs w:val="28"/>
          <w:u w:val="single"/>
        </w:rPr>
        <w:t xml:space="preserve"> </w:t>
      </w:r>
    </w:p>
    <w:p w14:paraId="457620DF" w14:textId="3AC9938D" w:rsidR="00B87B52" w:rsidRPr="00B650DE" w:rsidRDefault="009417C1" w:rsidP="000F0C05">
      <w:pPr>
        <w:autoSpaceDE w:val="0"/>
        <w:autoSpaceDN w:val="0"/>
        <w:adjustRightInd w:val="0"/>
        <w:spacing w:after="0" w:line="240" w:lineRule="auto"/>
        <w:jc w:val="center"/>
        <w:rPr>
          <w:rFonts w:ascii="Calibri" w:hAnsi="Calibri" w:cs="Times New Roman"/>
          <w:b/>
          <w:sz w:val="28"/>
          <w:szCs w:val="28"/>
          <w:u w:val="single"/>
        </w:rPr>
      </w:pPr>
      <w:r w:rsidRPr="00B650DE" w:rsidDel="009417C1">
        <w:rPr>
          <w:rFonts w:ascii="Calibri" w:hAnsi="Calibri" w:cs="Times New Roman"/>
          <w:b/>
          <w:bCs/>
          <w:color w:val="000000"/>
          <w:sz w:val="28"/>
          <w:szCs w:val="28"/>
          <w:u w:val="single"/>
        </w:rPr>
        <w:t xml:space="preserve"> </w:t>
      </w:r>
      <w:r w:rsidR="00A24B88" w:rsidRPr="00B650DE">
        <w:rPr>
          <w:rFonts w:ascii="Calibri" w:hAnsi="Calibri" w:cs="Times New Roman"/>
          <w:b/>
          <w:sz w:val="28"/>
          <w:szCs w:val="28"/>
          <w:u w:val="single"/>
        </w:rPr>
        <w:t>„Podpora vybraných druhů sociálních služeb v</w:t>
      </w:r>
      <w:r w:rsidR="00B87B52" w:rsidRPr="00B650DE">
        <w:rPr>
          <w:rFonts w:ascii="Calibri" w:hAnsi="Calibri" w:cs="Times New Roman"/>
          <w:b/>
          <w:sz w:val="28"/>
          <w:szCs w:val="28"/>
          <w:u w:val="single"/>
        </w:rPr>
        <w:t xml:space="preserve"> krajské síti sociálních služeb</w:t>
      </w:r>
    </w:p>
    <w:p w14:paraId="5FD7E885" w14:textId="77777777" w:rsidR="00F71A0B" w:rsidRDefault="00A24B88" w:rsidP="000F0C05">
      <w:pPr>
        <w:autoSpaceDE w:val="0"/>
        <w:autoSpaceDN w:val="0"/>
        <w:adjustRightInd w:val="0"/>
        <w:spacing w:after="0" w:line="240" w:lineRule="auto"/>
        <w:jc w:val="center"/>
        <w:rPr>
          <w:rFonts w:ascii="Calibri" w:hAnsi="Calibri" w:cs="Times New Roman"/>
          <w:b/>
          <w:sz w:val="28"/>
          <w:szCs w:val="28"/>
          <w:u w:val="single"/>
        </w:rPr>
      </w:pPr>
      <w:r w:rsidRPr="00B650DE">
        <w:rPr>
          <w:rFonts w:ascii="Calibri" w:hAnsi="Calibri" w:cs="Times New Roman"/>
          <w:b/>
          <w:sz w:val="28"/>
          <w:szCs w:val="28"/>
          <w:u w:val="single"/>
        </w:rPr>
        <w:t>na území hl. m. Prahy</w:t>
      </w:r>
      <w:r w:rsidR="007A4774" w:rsidRPr="00B650DE">
        <w:rPr>
          <w:rFonts w:ascii="Calibri" w:hAnsi="Calibri" w:cs="Times New Roman"/>
          <w:b/>
          <w:sz w:val="28"/>
          <w:szCs w:val="28"/>
          <w:u w:val="single"/>
        </w:rPr>
        <w:t xml:space="preserve"> na roky 2019 - 2021</w:t>
      </w:r>
      <w:r w:rsidRPr="00B650DE">
        <w:rPr>
          <w:rFonts w:ascii="Calibri" w:hAnsi="Calibri" w:cs="Times New Roman"/>
          <w:b/>
          <w:sz w:val="28"/>
          <w:szCs w:val="28"/>
          <w:u w:val="single"/>
        </w:rPr>
        <w:t>“</w:t>
      </w:r>
      <w:r w:rsidR="00A72622">
        <w:rPr>
          <w:rFonts w:ascii="Calibri" w:hAnsi="Calibri" w:cs="Times New Roman"/>
          <w:b/>
          <w:sz w:val="28"/>
          <w:szCs w:val="28"/>
          <w:u w:val="single"/>
        </w:rPr>
        <w:t xml:space="preserve"> </w:t>
      </w:r>
    </w:p>
    <w:p w14:paraId="79002A87" w14:textId="2843F3AF" w:rsidR="00A24B88" w:rsidRDefault="00A72622" w:rsidP="000F0C05">
      <w:pPr>
        <w:autoSpaceDE w:val="0"/>
        <w:autoSpaceDN w:val="0"/>
        <w:adjustRightInd w:val="0"/>
        <w:spacing w:after="0" w:line="240" w:lineRule="auto"/>
        <w:jc w:val="center"/>
        <w:rPr>
          <w:rFonts w:ascii="Calibri" w:hAnsi="Calibri" w:cs="Times New Roman"/>
          <w:b/>
          <w:sz w:val="28"/>
          <w:szCs w:val="28"/>
          <w:u w:val="single"/>
        </w:rPr>
      </w:pPr>
      <w:r>
        <w:rPr>
          <w:rFonts w:ascii="Calibri" w:hAnsi="Calibri" w:cs="Times New Roman"/>
          <w:b/>
          <w:sz w:val="28"/>
          <w:szCs w:val="28"/>
          <w:u w:val="single"/>
        </w:rPr>
        <w:t>(dále jen „</w:t>
      </w:r>
      <w:r w:rsidRPr="00B650DE">
        <w:rPr>
          <w:rFonts w:ascii="Calibri" w:hAnsi="Calibri" w:cs="Times New Roman"/>
          <w:b/>
          <w:i/>
          <w:sz w:val="28"/>
          <w:szCs w:val="28"/>
          <w:u w:val="single"/>
        </w:rPr>
        <w:t xml:space="preserve">Dotační program </w:t>
      </w:r>
      <w:r w:rsidR="00136610">
        <w:rPr>
          <w:rFonts w:ascii="Calibri" w:hAnsi="Calibri" w:cs="Times New Roman"/>
          <w:b/>
          <w:i/>
          <w:sz w:val="28"/>
          <w:szCs w:val="28"/>
          <w:u w:val="single"/>
        </w:rPr>
        <w:t>p</w:t>
      </w:r>
      <w:r w:rsidRPr="00B650DE">
        <w:rPr>
          <w:rFonts w:ascii="Calibri" w:hAnsi="Calibri" w:cs="Times New Roman"/>
          <w:b/>
          <w:i/>
          <w:sz w:val="28"/>
          <w:szCs w:val="28"/>
          <w:u w:val="single"/>
        </w:rPr>
        <w:t>rojektu</w:t>
      </w:r>
      <w:r w:rsidR="00F71A0B" w:rsidRPr="00B650DE">
        <w:rPr>
          <w:rFonts w:ascii="Calibri" w:hAnsi="Calibri" w:cs="Times New Roman"/>
          <w:b/>
          <w:i/>
          <w:sz w:val="28"/>
          <w:szCs w:val="28"/>
          <w:u w:val="single"/>
        </w:rPr>
        <w:t>“</w:t>
      </w:r>
      <w:r w:rsidR="00F71A0B">
        <w:rPr>
          <w:rFonts w:ascii="Calibri" w:hAnsi="Calibri" w:cs="Times New Roman"/>
          <w:b/>
          <w:i/>
          <w:sz w:val="28"/>
          <w:szCs w:val="28"/>
          <w:u w:val="single"/>
        </w:rPr>
        <w:t>)</w:t>
      </w:r>
    </w:p>
    <w:p w14:paraId="166C72AF" w14:textId="77777777" w:rsidR="009417C1" w:rsidRDefault="009417C1" w:rsidP="000F0C05">
      <w:pPr>
        <w:autoSpaceDE w:val="0"/>
        <w:autoSpaceDN w:val="0"/>
        <w:adjustRightInd w:val="0"/>
        <w:spacing w:after="0" w:line="240" w:lineRule="auto"/>
        <w:jc w:val="center"/>
        <w:rPr>
          <w:rFonts w:ascii="Calibri" w:hAnsi="Calibri" w:cs="Times New Roman"/>
          <w:b/>
          <w:sz w:val="28"/>
          <w:szCs w:val="28"/>
          <w:u w:val="single"/>
        </w:rPr>
      </w:pPr>
    </w:p>
    <w:p w14:paraId="7C8E8D52" w14:textId="67ECF29B" w:rsidR="00A72622" w:rsidRPr="00410D70" w:rsidRDefault="009417C1" w:rsidP="00553C49">
      <w:pPr>
        <w:pStyle w:val="Bezmezer"/>
        <w:jc w:val="both"/>
        <w:rPr>
          <w:rFonts w:ascii="Calibri" w:hAnsi="Calibri"/>
          <w:sz w:val="24"/>
          <w:szCs w:val="24"/>
        </w:rPr>
      </w:pPr>
      <w:r w:rsidRPr="00C809A8">
        <w:rPr>
          <w:rFonts w:ascii="Calibri" w:hAnsi="Calibri" w:cs="Times New Roman"/>
          <w:sz w:val="24"/>
          <w:szCs w:val="24"/>
        </w:rPr>
        <w:t xml:space="preserve">Hlavní město Praha (dále jen </w:t>
      </w:r>
      <w:r w:rsidRPr="00C809A8">
        <w:rPr>
          <w:rFonts w:ascii="Calibri" w:hAnsi="Calibri" w:cs="Times New Roman"/>
          <w:b/>
          <w:sz w:val="24"/>
          <w:szCs w:val="24"/>
        </w:rPr>
        <w:t>„HMP“</w:t>
      </w:r>
      <w:r w:rsidRPr="00C809A8">
        <w:rPr>
          <w:rFonts w:ascii="Calibri" w:hAnsi="Calibri" w:cs="Times New Roman"/>
          <w:sz w:val="24"/>
          <w:szCs w:val="24"/>
        </w:rPr>
        <w:t xml:space="preserve">) vyhlašuje dotační program v rámci Projektu </w:t>
      </w:r>
      <w:r w:rsidRPr="00C809A8">
        <w:rPr>
          <w:rFonts w:ascii="Calibri" w:eastAsiaTheme="majorEastAsia" w:hAnsi="Calibri" w:cs="Times New Roman"/>
          <w:bCs/>
          <w:sz w:val="24"/>
          <w:szCs w:val="24"/>
        </w:rPr>
        <w:t>Operačního programu Zaměstnanost</w:t>
      </w:r>
      <w:r w:rsidR="009461A5" w:rsidRPr="00C809A8">
        <w:rPr>
          <w:rFonts w:ascii="Calibri" w:eastAsiaTheme="majorEastAsia" w:hAnsi="Calibri" w:cs="Times New Roman"/>
          <w:bCs/>
          <w:sz w:val="24"/>
          <w:szCs w:val="24"/>
        </w:rPr>
        <w:t xml:space="preserve"> reg. č. CZ.03.2.60/0.0/0.0/15_006/0011073 na roky 2019 </w:t>
      </w:r>
      <w:r w:rsidR="007C4924">
        <w:rPr>
          <w:rFonts w:ascii="Calibri" w:eastAsiaTheme="majorEastAsia" w:hAnsi="Calibri" w:cs="Times New Roman"/>
          <w:bCs/>
          <w:sz w:val="24"/>
          <w:szCs w:val="24"/>
        </w:rPr>
        <w:t>-</w:t>
      </w:r>
      <w:r w:rsidR="009461A5" w:rsidRPr="00C809A8">
        <w:rPr>
          <w:rFonts w:ascii="Calibri" w:eastAsiaTheme="majorEastAsia" w:hAnsi="Calibri" w:cs="Times New Roman"/>
          <w:bCs/>
          <w:sz w:val="24"/>
          <w:szCs w:val="24"/>
        </w:rPr>
        <w:t xml:space="preserve"> 2021 (dále jen </w:t>
      </w:r>
      <w:r w:rsidR="009461A5" w:rsidRPr="00C809A8">
        <w:rPr>
          <w:rFonts w:ascii="Calibri" w:eastAsiaTheme="majorEastAsia" w:hAnsi="Calibri" w:cs="Times New Roman"/>
          <w:b/>
          <w:bCs/>
          <w:sz w:val="24"/>
          <w:szCs w:val="24"/>
        </w:rPr>
        <w:t>„Projekt“</w:t>
      </w:r>
      <w:r w:rsidR="009461A5" w:rsidRPr="00C809A8">
        <w:rPr>
          <w:rFonts w:ascii="Calibri" w:eastAsiaTheme="majorEastAsia" w:hAnsi="Calibri" w:cs="Times New Roman"/>
          <w:bCs/>
          <w:sz w:val="24"/>
          <w:szCs w:val="24"/>
        </w:rPr>
        <w:t>)</w:t>
      </w:r>
      <w:r w:rsidRPr="00C809A8">
        <w:rPr>
          <w:rFonts w:ascii="Calibri" w:eastAsiaTheme="majorEastAsia" w:hAnsi="Calibri" w:cs="Times New Roman"/>
          <w:bCs/>
          <w:sz w:val="24"/>
          <w:szCs w:val="24"/>
        </w:rPr>
        <w:t xml:space="preserve"> </w:t>
      </w:r>
      <w:r w:rsidR="009461A5" w:rsidRPr="00C809A8">
        <w:rPr>
          <w:rFonts w:ascii="Calibri" w:eastAsiaTheme="majorEastAsia" w:hAnsi="Calibri" w:cs="Times New Roman"/>
          <w:bCs/>
          <w:sz w:val="24"/>
          <w:szCs w:val="24"/>
        </w:rPr>
        <w:t>v</w:t>
      </w:r>
      <w:r w:rsidRPr="00C809A8">
        <w:rPr>
          <w:rFonts w:ascii="Calibri" w:eastAsiaTheme="majorEastAsia" w:hAnsi="Calibri" w:cs="Times New Roman"/>
          <w:bCs/>
          <w:sz w:val="24"/>
          <w:szCs w:val="24"/>
        </w:rPr>
        <w:t> působnosti odboru zdravotnictví, sociální péče a prevence</w:t>
      </w:r>
      <w:r w:rsidR="009461A5" w:rsidRPr="00C809A8">
        <w:rPr>
          <w:rFonts w:ascii="Calibri" w:eastAsiaTheme="majorEastAsia" w:hAnsi="Calibri" w:cs="Times New Roman"/>
          <w:bCs/>
          <w:sz w:val="24"/>
          <w:szCs w:val="24"/>
        </w:rPr>
        <w:t xml:space="preserve"> </w:t>
      </w:r>
      <w:r w:rsidRPr="00C809A8">
        <w:rPr>
          <w:rFonts w:ascii="Calibri" w:eastAsiaTheme="majorEastAsia" w:hAnsi="Calibri" w:cs="Times New Roman"/>
          <w:bCs/>
          <w:sz w:val="24"/>
          <w:szCs w:val="24"/>
        </w:rPr>
        <w:t>Magistrátu hlavního města Prahy</w:t>
      </w:r>
      <w:r w:rsidR="00136610" w:rsidRPr="00C809A8">
        <w:rPr>
          <w:rFonts w:ascii="Calibri" w:eastAsiaTheme="majorEastAsia" w:hAnsi="Calibri" w:cs="Times New Roman"/>
          <w:bCs/>
          <w:sz w:val="24"/>
          <w:szCs w:val="24"/>
        </w:rPr>
        <w:t xml:space="preserve">, </w:t>
      </w:r>
      <w:r w:rsidR="00A72622" w:rsidRPr="00C809A8">
        <w:rPr>
          <w:rFonts w:ascii="Calibri" w:eastAsiaTheme="majorEastAsia" w:hAnsi="Calibri" w:cs="Times New Roman"/>
          <w:bCs/>
          <w:sz w:val="24"/>
          <w:szCs w:val="24"/>
        </w:rPr>
        <w:t xml:space="preserve">a to </w:t>
      </w:r>
      <w:r w:rsidR="00136610" w:rsidRPr="00C809A8">
        <w:rPr>
          <w:rFonts w:ascii="Calibri" w:eastAsiaTheme="majorEastAsia" w:hAnsi="Calibri" w:cs="Times New Roman"/>
          <w:bCs/>
          <w:sz w:val="24"/>
          <w:szCs w:val="24"/>
        </w:rPr>
        <w:t>v souladu s</w:t>
      </w:r>
      <w:r w:rsidR="00553C49" w:rsidRPr="00553C49">
        <w:rPr>
          <w:rFonts w:asciiTheme="minorHAnsi" w:hAnsiTheme="minorHAnsi"/>
          <w:sz w:val="24"/>
          <w:szCs w:val="24"/>
        </w:rPr>
        <w:t xml:space="preserve"> </w:t>
      </w:r>
      <w:r w:rsidR="00A72622" w:rsidRPr="00410D70">
        <w:rPr>
          <w:rFonts w:asciiTheme="minorHAnsi" w:hAnsiTheme="minorHAnsi"/>
          <w:sz w:val="24"/>
          <w:szCs w:val="24"/>
        </w:rPr>
        <w:t>usta</w:t>
      </w:r>
      <w:r w:rsidR="00F71A0B" w:rsidRPr="00410D70">
        <w:rPr>
          <w:rFonts w:asciiTheme="minorHAnsi" w:hAnsiTheme="minorHAnsi"/>
          <w:sz w:val="24"/>
          <w:szCs w:val="24"/>
        </w:rPr>
        <w:t>n</w:t>
      </w:r>
      <w:r w:rsidR="00A72622" w:rsidRPr="00410D70">
        <w:rPr>
          <w:rFonts w:asciiTheme="minorHAnsi" w:hAnsiTheme="minorHAnsi"/>
          <w:sz w:val="24"/>
          <w:szCs w:val="24"/>
        </w:rPr>
        <w:t>ovení</w:t>
      </w:r>
      <w:r w:rsidR="00136610" w:rsidRPr="00410D70">
        <w:rPr>
          <w:rFonts w:asciiTheme="minorHAnsi" w:hAnsiTheme="minorHAnsi"/>
          <w:sz w:val="24"/>
          <w:szCs w:val="24"/>
        </w:rPr>
        <w:t>m</w:t>
      </w:r>
      <w:r w:rsidR="004F02FC" w:rsidRPr="00410D70">
        <w:rPr>
          <w:rFonts w:asciiTheme="minorHAnsi" w:hAnsiTheme="minorHAnsi"/>
          <w:sz w:val="24"/>
          <w:szCs w:val="24"/>
        </w:rPr>
        <w:t xml:space="preserve"> </w:t>
      </w:r>
      <w:r w:rsidR="000E6969" w:rsidRPr="00C809A8">
        <w:rPr>
          <w:rFonts w:asciiTheme="minorHAnsi" w:hAnsiTheme="minorHAnsi" w:cs="Segoe UI"/>
          <w:sz w:val="24"/>
          <w:szCs w:val="24"/>
          <w:lang w:val="en-US"/>
        </w:rPr>
        <w:t xml:space="preserve">§ 10c  </w:t>
      </w:r>
      <w:r w:rsidR="003A7FE8" w:rsidRPr="00553C49">
        <w:rPr>
          <w:rFonts w:asciiTheme="minorHAnsi" w:hAnsiTheme="minorHAnsi"/>
          <w:sz w:val="24"/>
          <w:szCs w:val="24"/>
        </w:rPr>
        <w:t>zákona č. 250/2000 Sb., o</w:t>
      </w:r>
      <w:r w:rsidR="00553C49">
        <w:rPr>
          <w:rFonts w:asciiTheme="minorHAnsi" w:hAnsiTheme="minorHAnsi"/>
          <w:sz w:val="24"/>
          <w:szCs w:val="24"/>
        </w:rPr>
        <w:t> </w:t>
      </w:r>
      <w:r w:rsidR="003A7FE8" w:rsidRPr="00553C49">
        <w:rPr>
          <w:rFonts w:asciiTheme="minorHAnsi" w:hAnsiTheme="minorHAnsi"/>
          <w:sz w:val="24"/>
          <w:szCs w:val="24"/>
        </w:rPr>
        <w:t>rozpočtových pravidlech územních rozpočtů, ve znění pozdějších předpisů (</w:t>
      </w:r>
      <w:r w:rsidR="003A7FE8" w:rsidRPr="00410D70">
        <w:rPr>
          <w:rFonts w:ascii="Calibri" w:hAnsi="Calibri"/>
          <w:sz w:val="24"/>
          <w:szCs w:val="24"/>
        </w:rPr>
        <w:t xml:space="preserve">dále jen </w:t>
      </w:r>
      <w:r w:rsidR="003A7FE8" w:rsidRPr="00C809A8">
        <w:rPr>
          <w:rFonts w:ascii="Calibri" w:hAnsi="Calibri"/>
          <w:b/>
          <w:sz w:val="24"/>
          <w:szCs w:val="24"/>
        </w:rPr>
        <w:t>„zákon o rozpočtových pravidlech územních rozpočtů“</w:t>
      </w:r>
      <w:r w:rsidR="003A7FE8" w:rsidRPr="00553C49">
        <w:rPr>
          <w:rFonts w:ascii="Calibri" w:hAnsi="Calibri"/>
          <w:sz w:val="24"/>
          <w:szCs w:val="24"/>
        </w:rPr>
        <w:t>)</w:t>
      </w:r>
      <w:r w:rsidR="00136610" w:rsidRPr="00553C49">
        <w:rPr>
          <w:rFonts w:ascii="Calibri" w:hAnsi="Calibri"/>
          <w:sz w:val="24"/>
          <w:szCs w:val="24"/>
        </w:rPr>
        <w:t xml:space="preserve">, zákonem </w:t>
      </w:r>
      <w:r w:rsidR="00136610" w:rsidRPr="00410D70">
        <w:rPr>
          <w:rFonts w:ascii="Calibri" w:hAnsi="Calibri"/>
          <w:sz w:val="24"/>
          <w:szCs w:val="24"/>
        </w:rPr>
        <w:t xml:space="preserve">č. 131/2000 Sb., o hlavním městě Praze, ve znění pozdějších předpisů (dále jen </w:t>
      </w:r>
      <w:r w:rsidR="00136610" w:rsidRPr="00C809A8">
        <w:rPr>
          <w:rFonts w:ascii="Calibri" w:hAnsi="Calibri"/>
          <w:b/>
          <w:sz w:val="24"/>
          <w:szCs w:val="24"/>
        </w:rPr>
        <w:t>„zákon o hlavním městě Praze“</w:t>
      </w:r>
      <w:r w:rsidR="00136610" w:rsidRPr="00553C49">
        <w:rPr>
          <w:rFonts w:ascii="Calibri" w:hAnsi="Calibri"/>
          <w:sz w:val="24"/>
          <w:szCs w:val="24"/>
        </w:rPr>
        <w:t>)</w:t>
      </w:r>
      <w:r w:rsidR="00E1716B" w:rsidRPr="00553C49">
        <w:rPr>
          <w:rFonts w:ascii="Calibri" w:hAnsi="Calibri"/>
          <w:sz w:val="24"/>
          <w:szCs w:val="24"/>
        </w:rPr>
        <w:t xml:space="preserve"> </w:t>
      </w:r>
      <w:r w:rsidR="003A7FE8" w:rsidRPr="00410D70">
        <w:rPr>
          <w:rFonts w:ascii="Calibri" w:hAnsi="Calibri"/>
          <w:sz w:val="24"/>
          <w:szCs w:val="24"/>
        </w:rPr>
        <w:t xml:space="preserve">a </w:t>
      </w:r>
      <w:r w:rsidR="00136610" w:rsidRPr="00410D70">
        <w:rPr>
          <w:rFonts w:ascii="Calibri" w:hAnsi="Calibri"/>
          <w:sz w:val="24"/>
          <w:szCs w:val="24"/>
        </w:rPr>
        <w:t xml:space="preserve">zákonem </w:t>
      </w:r>
      <w:r w:rsidR="00440E3F" w:rsidRPr="00410D70">
        <w:rPr>
          <w:rFonts w:ascii="Calibri" w:hAnsi="Calibri"/>
          <w:sz w:val="24"/>
          <w:szCs w:val="24"/>
        </w:rPr>
        <w:t>č.</w:t>
      </w:r>
      <w:r w:rsidR="00553C49">
        <w:rPr>
          <w:rFonts w:ascii="Calibri" w:hAnsi="Calibri"/>
          <w:sz w:val="24"/>
          <w:szCs w:val="24"/>
        </w:rPr>
        <w:t> </w:t>
      </w:r>
      <w:r w:rsidR="00440E3F" w:rsidRPr="00553C49">
        <w:rPr>
          <w:rFonts w:ascii="Calibri" w:hAnsi="Calibri"/>
          <w:sz w:val="24"/>
          <w:szCs w:val="24"/>
        </w:rPr>
        <w:t xml:space="preserve">108/2006 Sb., o sociálních službách, ve znění pozdějších předpisů (dále jen </w:t>
      </w:r>
      <w:r w:rsidR="00440E3F" w:rsidRPr="00C809A8">
        <w:rPr>
          <w:rFonts w:ascii="Calibri" w:hAnsi="Calibri"/>
          <w:b/>
          <w:sz w:val="24"/>
          <w:szCs w:val="24"/>
        </w:rPr>
        <w:t>„zákon o</w:t>
      </w:r>
      <w:r w:rsidR="00553C49">
        <w:rPr>
          <w:rFonts w:ascii="Calibri" w:hAnsi="Calibri"/>
          <w:b/>
          <w:sz w:val="24"/>
          <w:szCs w:val="24"/>
        </w:rPr>
        <w:t> </w:t>
      </w:r>
      <w:r w:rsidR="00440E3F" w:rsidRPr="00C809A8">
        <w:rPr>
          <w:rFonts w:ascii="Calibri" w:hAnsi="Calibri"/>
          <w:b/>
          <w:sz w:val="24"/>
          <w:szCs w:val="24"/>
        </w:rPr>
        <w:t>sociálních službách“</w:t>
      </w:r>
      <w:r w:rsidR="00440E3F" w:rsidRPr="00553C49">
        <w:rPr>
          <w:rFonts w:ascii="Calibri" w:hAnsi="Calibri"/>
          <w:sz w:val="24"/>
          <w:szCs w:val="24"/>
        </w:rPr>
        <w:t>)</w:t>
      </w:r>
      <w:r w:rsidR="00A72622" w:rsidRPr="00553C49">
        <w:rPr>
          <w:rFonts w:ascii="Calibri" w:hAnsi="Calibri"/>
          <w:sz w:val="24"/>
          <w:szCs w:val="24"/>
        </w:rPr>
        <w:t>.</w:t>
      </w:r>
    </w:p>
    <w:p w14:paraId="41EE880B" w14:textId="77777777" w:rsidR="00553C49" w:rsidRDefault="00553C49" w:rsidP="00136610">
      <w:pPr>
        <w:pStyle w:val="Bezmezer"/>
        <w:jc w:val="both"/>
        <w:rPr>
          <w:rFonts w:ascii="Calibri" w:hAnsi="Calibri"/>
          <w:sz w:val="24"/>
          <w:szCs w:val="24"/>
        </w:rPr>
      </w:pPr>
    </w:p>
    <w:p w14:paraId="1C8013A7" w14:textId="77777777" w:rsidR="0019068D" w:rsidRPr="00103AC5" w:rsidRDefault="00BD2A56" w:rsidP="0019068D">
      <w:pPr>
        <w:pStyle w:val="Bezmezer"/>
        <w:jc w:val="both"/>
        <w:rPr>
          <w:rFonts w:ascii="Calibri" w:hAnsi="Calibri"/>
          <w:sz w:val="24"/>
          <w:szCs w:val="24"/>
        </w:rPr>
      </w:pPr>
      <w:r>
        <w:rPr>
          <w:rFonts w:ascii="Calibri" w:hAnsi="Calibri"/>
          <w:sz w:val="24"/>
          <w:szCs w:val="24"/>
        </w:rPr>
        <w:t>Dotační program je vyhlašován</w:t>
      </w:r>
      <w:r w:rsidR="00440E3F" w:rsidRPr="00103AC5">
        <w:rPr>
          <w:rFonts w:ascii="Calibri" w:hAnsi="Calibri"/>
          <w:sz w:val="24"/>
          <w:szCs w:val="24"/>
        </w:rPr>
        <w:t xml:space="preserve"> v návaznosti </w:t>
      </w:r>
      <w:r w:rsidR="00303CF8" w:rsidRPr="00103AC5">
        <w:rPr>
          <w:rFonts w:ascii="Calibri" w:hAnsi="Calibri"/>
          <w:sz w:val="24"/>
          <w:szCs w:val="24"/>
        </w:rPr>
        <w:t xml:space="preserve">na </w:t>
      </w:r>
      <w:r w:rsidR="00714D1D" w:rsidRPr="00103AC5">
        <w:rPr>
          <w:rFonts w:ascii="Calibri" w:hAnsi="Calibri"/>
          <w:sz w:val="24"/>
          <w:szCs w:val="24"/>
        </w:rPr>
        <w:t xml:space="preserve">Operační program Zaměstnanost (dále jen </w:t>
      </w:r>
      <w:r w:rsidR="00830FCE" w:rsidRPr="00C809A8">
        <w:rPr>
          <w:rFonts w:ascii="Calibri" w:hAnsi="Calibri"/>
          <w:b/>
          <w:sz w:val="24"/>
          <w:szCs w:val="24"/>
        </w:rPr>
        <w:t>„</w:t>
      </w:r>
      <w:r w:rsidR="00714D1D" w:rsidRPr="00C809A8">
        <w:rPr>
          <w:rFonts w:ascii="Calibri" w:hAnsi="Calibri"/>
          <w:b/>
          <w:sz w:val="24"/>
          <w:szCs w:val="24"/>
        </w:rPr>
        <w:t>OPZ</w:t>
      </w:r>
      <w:r w:rsidR="00830FCE" w:rsidRPr="00C809A8">
        <w:rPr>
          <w:rFonts w:ascii="Calibri" w:hAnsi="Calibri"/>
          <w:b/>
          <w:sz w:val="24"/>
          <w:szCs w:val="24"/>
        </w:rPr>
        <w:t>“</w:t>
      </w:r>
      <w:r w:rsidR="00714D1D" w:rsidRPr="00103AC5">
        <w:rPr>
          <w:rFonts w:ascii="Calibri" w:hAnsi="Calibri"/>
          <w:sz w:val="24"/>
          <w:szCs w:val="24"/>
        </w:rPr>
        <w:t>)</w:t>
      </w:r>
      <w:r w:rsidR="0019068D" w:rsidRPr="00103AC5">
        <w:rPr>
          <w:rFonts w:ascii="Calibri" w:hAnsi="Calibri"/>
          <w:sz w:val="24"/>
          <w:szCs w:val="24"/>
        </w:rPr>
        <w:t>.</w:t>
      </w:r>
    </w:p>
    <w:p w14:paraId="787E9DD8" w14:textId="77777777" w:rsidR="006C3DCC" w:rsidRPr="00103AC5" w:rsidRDefault="006C3DCC" w:rsidP="004E4EF8">
      <w:pPr>
        <w:spacing w:after="0" w:line="240" w:lineRule="auto"/>
        <w:jc w:val="both"/>
        <w:rPr>
          <w:rFonts w:ascii="Calibri" w:hAnsi="Calibri" w:cs="Times New Roman"/>
          <w:b/>
          <w:sz w:val="24"/>
          <w:szCs w:val="24"/>
        </w:rPr>
      </w:pPr>
    </w:p>
    <w:p w14:paraId="49955095" w14:textId="77777777" w:rsidR="00440E3F" w:rsidRPr="00103AC5" w:rsidRDefault="00440E3F" w:rsidP="000F0C05">
      <w:pPr>
        <w:keepNext/>
        <w:keepLines/>
        <w:spacing w:before="480" w:after="0" w:line="240" w:lineRule="auto"/>
        <w:ind w:left="714" w:hanging="357"/>
        <w:jc w:val="center"/>
        <w:outlineLvl w:val="0"/>
        <w:rPr>
          <w:rFonts w:ascii="Calibri" w:eastAsiaTheme="majorEastAsia" w:hAnsi="Calibri" w:cs="Times New Roman"/>
          <w:b/>
          <w:bCs/>
          <w:color w:val="365F91" w:themeColor="accent1" w:themeShade="BF"/>
          <w:sz w:val="24"/>
          <w:szCs w:val="24"/>
        </w:rPr>
      </w:pPr>
      <w:r w:rsidRPr="00103AC5">
        <w:rPr>
          <w:rFonts w:ascii="Calibri" w:eastAsiaTheme="majorEastAsia" w:hAnsi="Calibri" w:cs="Times New Roman"/>
          <w:b/>
          <w:bCs/>
          <w:color w:val="365F91" w:themeColor="accent1" w:themeShade="BF"/>
          <w:sz w:val="24"/>
          <w:szCs w:val="24"/>
        </w:rPr>
        <w:t>Část I</w:t>
      </w:r>
    </w:p>
    <w:p w14:paraId="00413E0C" w14:textId="77777777" w:rsidR="00440E3F" w:rsidRPr="00103AC5" w:rsidRDefault="00440E3F" w:rsidP="000F0C05">
      <w:pPr>
        <w:keepNext/>
        <w:keepLines/>
        <w:spacing w:after="0" w:line="240" w:lineRule="auto"/>
        <w:ind w:left="714" w:hanging="357"/>
        <w:jc w:val="center"/>
        <w:outlineLvl w:val="0"/>
        <w:rPr>
          <w:rFonts w:ascii="Calibri" w:eastAsiaTheme="majorEastAsia" w:hAnsi="Calibri" w:cs="Times New Roman"/>
          <w:b/>
          <w:bCs/>
          <w:color w:val="365F91" w:themeColor="accent1" w:themeShade="BF"/>
          <w:sz w:val="24"/>
          <w:szCs w:val="24"/>
        </w:rPr>
      </w:pPr>
      <w:r w:rsidRPr="00103AC5">
        <w:rPr>
          <w:rFonts w:ascii="Calibri" w:eastAsiaTheme="majorEastAsia" w:hAnsi="Calibri" w:cs="Times New Roman"/>
          <w:b/>
          <w:bCs/>
          <w:color w:val="365F91" w:themeColor="accent1" w:themeShade="BF"/>
          <w:sz w:val="24"/>
          <w:szCs w:val="24"/>
        </w:rPr>
        <w:t>Úvodní ustanovení</w:t>
      </w:r>
      <w:r w:rsidR="00F71A0B">
        <w:rPr>
          <w:rFonts w:ascii="Calibri" w:eastAsiaTheme="majorEastAsia" w:hAnsi="Calibri" w:cs="Times New Roman"/>
          <w:b/>
          <w:bCs/>
          <w:color w:val="365F91" w:themeColor="accent1" w:themeShade="BF"/>
          <w:sz w:val="24"/>
          <w:szCs w:val="24"/>
        </w:rPr>
        <w:t>; Důvody podpory</w:t>
      </w:r>
    </w:p>
    <w:p w14:paraId="61F604A2" w14:textId="77777777" w:rsidR="00440E3F" w:rsidRPr="00103AC5" w:rsidRDefault="00440E3F" w:rsidP="0083495F">
      <w:pPr>
        <w:pStyle w:val="Bezmezer"/>
      </w:pPr>
    </w:p>
    <w:p w14:paraId="361CB67C" w14:textId="08241754" w:rsidR="00E26FD9" w:rsidRPr="00103AC5" w:rsidRDefault="00440E3F" w:rsidP="00613BEE">
      <w:pPr>
        <w:pStyle w:val="Bezmezer"/>
        <w:numPr>
          <w:ilvl w:val="0"/>
          <w:numId w:val="25"/>
        </w:numPr>
        <w:ind w:left="397" w:hanging="397"/>
        <w:jc w:val="both"/>
        <w:rPr>
          <w:rFonts w:ascii="Calibri" w:hAnsi="Calibri"/>
          <w:sz w:val="24"/>
          <w:szCs w:val="24"/>
        </w:rPr>
      </w:pPr>
      <w:r w:rsidRPr="00C75BA8">
        <w:rPr>
          <w:rFonts w:ascii="Calibri" w:hAnsi="Calibri"/>
          <w:sz w:val="24"/>
          <w:szCs w:val="24"/>
        </w:rPr>
        <w:t>HMP</w:t>
      </w:r>
      <w:r w:rsidR="00D12C62" w:rsidRPr="00C75BA8">
        <w:rPr>
          <w:rFonts w:ascii="Calibri" w:hAnsi="Calibri"/>
          <w:sz w:val="24"/>
          <w:szCs w:val="24"/>
        </w:rPr>
        <w:t xml:space="preserve"> vyhlašuje D</w:t>
      </w:r>
      <w:r w:rsidRPr="00C75BA8">
        <w:rPr>
          <w:rFonts w:ascii="Calibri" w:hAnsi="Calibri"/>
          <w:sz w:val="24"/>
          <w:szCs w:val="24"/>
        </w:rPr>
        <w:t xml:space="preserve">otační </w:t>
      </w:r>
      <w:r w:rsidR="0043231E" w:rsidRPr="00C75BA8">
        <w:rPr>
          <w:rFonts w:ascii="Calibri" w:hAnsi="Calibri"/>
          <w:sz w:val="24"/>
          <w:szCs w:val="24"/>
        </w:rPr>
        <w:t>program</w:t>
      </w:r>
      <w:r w:rsidR="00D12C62" w:rsidRPr="00C75BA8">
        <w:rPr>
          <w:rFonts w:ascii="Calibri" w:hAnsi="Calibri"/>
          <w:sz w:val="24"/>
          <w:szCs w:val="24"/>
        </w:rPr>
        <w:t xml:space="preserve"> </w:t>
      </w:r>
      <w:r w:rsidR="00851778" w:rsidRPr="00C75BA8">
        <w:rPr>
          <w:rFonts w:ascii="Calibri" w:hAnsi="Calibri"/>
          <w:sz w:val="24"/>
          <w:szCs w:val="24"/>
        </w:rPr>
        <w:t>p</w:t>
      </w:r>
      <w:r w:rsidR="00D12C62" w:rsidRPr="00C75BA8">
        <w:rPr>
          <w:rFonts w:ascii="Calibri" w:hAnsi="Calibri"/>
          <w:sz w:val="24"/>
          <w:szCs w:val="24"/>
        </w:rPr>
        <w:t>rojektu</w:t>
      </w:r>
      <w:r w:rsidRPr="00C75BA8">
        <w:rPr>
          <w:rFonts w:ascii="Calibri" w:hAnsi="Calibri"/>
          <w:sz w:val="24"/>
          <w:szCs w:val="24"/>
        </w:rPr>
        <w:t xml:space="preserve"> určen</w:t>
      </w:r>
      <w:r w:rsidR="0043231E" w:rsidRPr="00C75BA8">
        <w:rPr>
          <w:rFonts w:ascii="Calibri" w:hAnsi="Calibri"/>
          <w:sz w:val="24"/>
          <w:szCs w:val="24"/>
        </w:rPr>
        <w:t>ý</w:t>
      </w:r>
      <w:r w:rsidRPr="00C75BA8">
        <w:rPr>
          <w:rFonts w:ascii="Calibri" w:hAnsi="Calibri"/>
          <w:sz w:val="24"/>
          <w:szCs w:val="24"/>
        </w:rPr>
        <w:t xml:space="preserve"> pro právnické osoby </w:t>
      </w:r>
      <w:r w:rsidR="008A6FB9" w:rsidRPr="00C75BA8">
        <w:rPr>
          <w:rFonts w:ascii="Calibri" w:hAnsi="Calibri" w:cs="Times New Roman"/>
          <w:sz w:val="24"/>
          <w:szCs w:val="24"/>
        </w:rPr>
        <w:t>(dále jen „poskytovatele sociálních služeb“)</w:t>
      </w:r>
      <w:r w:rsidR="009557AF" w:rsidRPr="00C75BA8">
        <w:rPr>
          <w:rFonts w:ascii="Calibri" w:hAnsi="Calibri" w:cs="Times New Roman"/>
          <w:sz w:val="24"/>
          <w:szCs w:val="24"/>
        </w:rPr>
        <w:t>,</w:t>
      </w:r>
      <w:r w:rsidR="008A6FB9" w:rsidRPr="00C75BA8">
        <w:rPr>
          <w:rFonts w:ascii="Calibri" w:hAnsi="Calibri" w:cs="Times New Roman"/>
          <w:sz w:val="24"/>
          <w:szCs w:val="24"/>
        </w:rPr>
        <w:t xml:space="preserve"> </w:t>
      </w:r>
      <w:r w:rsidRPr="00C75BA8">
        <w:rPr>
          <w:rFonts w:ascii="Calibri" w:hAnsi="Calibri"/>
          <w:sz w:val="24"/>
          <w:szCs w:val="24"/>
        </w:rPr>
        <w:t xml:space="preserve">které poskytují </w:t>
      </w:r>
      <w:r w:rsidR="00DF3108" w:rsidRPr="00C75BA8">
        <w:rPr>
          <w:rFonts w:ascii="Calibri" w:hAnsi="Calibri"/>
          <w:sz w:val="24"/>
          <w:szCs w:val="24"/>
        </w:rPr>
        <w:t xml:space="preserve">vybrané </w:t>
      </w:r>
      <w:r w:rsidRPr="00C75BA8">
        <w:rPr>
          <w:rFonts w:ascii="Calibri" w:hAnsi="Calibri"/>
          <w:sz w:val="24"/>
          <w:szCs w:val="24"/>
        </w:rPr>
        <w:t xml:space="preserve">registrované </w:t>
      </w:r>
      <w:r w:rsidR="009325CC" w:rsidRPr="00C75BA8">
        <w:rPr>
          <w:rFonts w:ascii="Calibri" w:hAnsi="Calibri"/>
          <w:sz w:val="24"/>
          <w:szCs w:val="24"/>
        </w:rPr>
        <w:t xml:space="preserve">sociální </w:t>
      </w:r>
      <w:r w:rsidRPr="00C75BA8">
        <w:rPr>
          <w:rFonts w:ascii="Calibri" w:hAnsi="Calibri"/>
          <w:sz w:val="24"/>
          <w:szCs w:val="24"/>
        </w:rPr>
        <w:t xml:space="preserve">služby dle zákona o sociálních službách </w:t>
      </w:r>
      <w:r w:rsidR="007C4924">
        <w:rPr>
          <w:rFonts w:ascii="Calibri" w:hAnsi="Calibri"/>
          <w:sz w:val="24"/>
          <w:szCs w:val="24"/>
        </w:rPr>
        <w:t>-</w:t>
      </w:r>
      <w:r w:rsidR="00DF3108" w:rsidRPr="00C75BA8">
        <w:rPr>
          <w:rFonts w:ascii="Calibri" w:hAnsi="Calibri"/>
          <w:sz w:val="24"/>
          <w:szCs w:val="24"/>
        </w:rPr>
        <w:t xml:space="preserve"> </w:t>
      </w:r>
      <w:r w:rsidR="00DF3108" w:rsidRPr="00C75BA8">
        <w:rPr>
          <w:rFonts w:ascii="Calibri" w:hAnsi="Calibri" w:cs="Times New Roman"/>
          <w:sz w:val="24"/>
          <w:szCs w:val="24"/>
        </w:rPr>
        <w:t>Azylové domy</w:t>
      </w:r>
      <w:r w:rsidR="00B133A8" w:rsidRPr="00C75BA8">
        <w:rPr>
          <w:rFonts w:ascii="Calibri" w:hAnsi="Calibri" w:cs="Times New Roman"/>
          <w:sz w:val="24"/>
          <w:szCs w:val="24"/>
        </w:rPr>
        <w:t xml:space="preserve"> a</w:t>
      </w:r>
      <w:r w:rsidR="00DF3108" w:rsidRPr="00C75BA8">
        <w:rPr>
          <w:rFonts w:ascii="Calibri" w:hAnsi="Calibri" w:cs="Times New Roman"/>
          <w:sz w:val="24"/>
          <w:szCs w:val="24"/>
        </w:rPr>
        <w:t xml:space="preserve"> Domy na půl cesty </w:t>
      </w:r>
      <w:r w:rsidR="00714D1D" w:rsidRPr="00C75BA8">
        <w:rPr>
          <w:rFonts w:ascii="Calibri" w:hAnsi="Calibri" w:cs="Times New Roman"/>
          <w:sz w:val="24"/>
          <w:szCs w:val="24"/>
        </w:rPr>
        <w:t xml:space="preserve">(dále jen </w:t>
      </w:r>
      <w:r w:rsidR="00830FCE" w:rsidRPr="00C75BA8">
        <w:rPr>
          <w:rFonts w:ascii="Calibri" w:hAnsi="Calibri" w:cs="Times New Roman"/>
          <w:sz w:val="24"/>
          <w:szCs w:val="24"/>
        </w:rPr>
        <w:t>„</w:t>
      </w:r>
      <w:r w:rsidR="00714D1D" w:rsidRPr="00103AC5">
        <w:rPr>
          <w:rFonts w:ascii="Calibri" w:hAnsi="Calibri" w:cs="Times New Roman"/>
          <w:sz w:val="24"/>
          <w:szCs w:val="24"/>
        </w:rPr>
        <w:t>vybrané sociální služby</w:t>
      </w:r>
      <w:r w:rsidR="00830FCE" w:rsidRPr="00103AC5">
        <w:rPr>
          <w:rFonts w:ascii="Calibri" w:hAnsi="Calibri" w:cs="Times New Roman"/>
          <w:sz w:val="24"/>
          <w:szCs w:val="24"/>
        </w:rPr>
        <w:t>“</w:t>
      </w:r>
      <w:r w:rsidR="00714D1D" w:rsidRPr="00103AC5">
        <w:rPr>
          <w:rFonts w:ascii="Calibri" w:hAnsi="Calibri" w:cs="Times New Roman"/>
          <w:sz w:val="24"/>
          <w:szCs w:val="24"/>
        </w:rPr>
        <w:t>)</w:t>
      </w:r>
      <w:r w:rsidR="001B4689" w:rsidRPr="00103AC5">
        <w:rPr>
          <w:rFonts w:ascii="Calibri" w:hAnsi="Calibri"/>
          <w:sz w:val="24"/>
          <w:szCs w:val="24"/>
        </w:rPr>
        <w:t>,</w:t>
      </w:r>
      <w:r w:rsidRPr="00103AC5">
        <w:rPr>
          <w:rFonts w:ascii="Calibri" w:hAnsi="Calibri"/>
          <w:sz w:val="24"/>
          <w:szCs w:val="24"/>
        </w:rPr>
        <w:t xml:space="preserve"> </w:t>
      </w:r>
      <w:r w:rsidR="001B4689" w:rsidRPr="00103AC5">
        <w:rPr>
          <w:rFonts w:ascii="Calibri" w:hAnsi="Calibri" w:cs="Times New Roman"/>
          <w:sz w:val="24"/>
          <w:szCs w:val="24"/>
        </w:rPr>
        <w:t>zajišťující pomoc a podporu osobám za účelem sociálního</w:t>
      </w:r>
      <w:r w:rsidR="001B4689" w:rsidRPr="00103AC5">
        <w:rPr>
          <w:rFonts w:ascii="Calibri" w:hAnsi="Calibri"/>
          <w:sz w:val="24"/>
          <w:szCs w:val="24"/>
        </w:rPr>
        <w:t xml:space="preserve"> začleňování nebo prevence sociálního vyloučení. </w:t>
      </w:r>
    </w:p>
    <w:p w14:paraId="06919009" w14:textId="77777777" w:rsidR="00430878" w:rsidRPr="00103AC5" w:rsidRDefault="00430878" w:rsidP="00613BEE">
      <w:pPr>
        <w:pStyle w:val="Bezmezer"/>
        <w:ind w:left="397" w:hanging="397"/>
      </w:pPr>
    </w:p>
    <w:p w14:paraId="7AB47C8C" w14:textId="657E21F8" w:rsidR="00E26FD9" w:rsidRPr="00410D70" w:rsidRDefault="00D05137" w:rsidP="00613BEE">
      <w:pPr>
        <w:pStyle w:val="Bezmezer"/>
        <w:numPr>
          <w:ilvl w:val="0"/>
          <w:numId w:val="25"/>
        </w:numPr>
        <w:ind w:left="397" w:hanging="397"/>
        <w:jc w:val="both"/>
        <w:rPr>
          <w:rFonts w:ascii="Calibri" w:hAnsi="Calibri"/>
          <w:sz w:val="24"/>
          <w:szCs w:val="24"/>
        </w:rPr>
      </w:pPr>
      <w:r w:rsidRPr="00103AC5">
        <w:rPr>
          <w:rFonts w:ascii="Calibri" w:hAnsi="Calibri"/>
          <w:sz w:val="24"/>
          <w:szCs w:val="24"/>
        </w:rPr>
        <w:t>Dotační program projektu je vyhlašován v souladu s prioritami sociální politiky na území HMP</w:t>
      </w:r>
      <w:r w:rsidR="00A72622">
        <w:rPr>
          <w:rFonts w:ascii="Calibri" w:hAnsi="Calibri"/>
          <w:sz w:val="24"/>
          <w:szCs w:val="24"/>
        </w:rPr>
        <w:t xml:space="preserve"> stanovenými</w:t>
      </w:r>
      <w:r w:rsidRPr="00103AC5">
        <w:rPr>
          <w:rFonts w:ascii="Calibri" w:hAnsi="Calibri"/>
          <w:sz w:val="24"/>
          <w:szCs w:val="24"/>
        </w:rPr>
        <w:t xml:space="preserve"> </w:t>
      </w:r>
      <w:r w:rsidR="00A72622" w:rsidRPr="00C75BA8">
        <w:rPr>
          <w:rFonts w:ascii="Calibri" w:hAnsi="Calibri"/>
          <w:bCs/>
          <w:color w:val="000000"/>
          <w:sz w:val="24"/>
          <w:szCs w:val="24"/>
        </w:rPr>
        <w:t>Střednědob</w:t>
      </w:r>
      <w:r w:rsidR="00A72622">
        <w:rPr>
          <w:rFonts w:ascii="Calibri" w:hAnsi="Calibri"/>
          <w:bCs/>
          <w:color w:val="000000"/>
          <w:sz w:val="24"/>
          <w:szCs w:val="24"/>
        </w:rPr>
        <w:t>ým</w:t>
      </w:r>
      <w:r w:rsidR="00A72622" w:rsidRPr="00C75BA8">
        <w:rPr>
          <w:rFonts w:ascii="Calibri" w:hAnsi="Calibri"/>
          <w:bCs/>
          <w:color w:val="000000"/>
          <w:sz w:val="24"/>
          <w:szCs w:val="24"/>
        </w:rPr>
        <w:t xml:space="preserve"> plán</w:t>
      </w:r>
      <w:r w:rsidR="00A72622">
        <w:rPr>
          <w:rFonts w:ascii="Calibri" w:hAnsi="Calibri"/>
          <w:bCs/>
          <w:color w:val="000000"/>
          <w:sz w:val="24"/>
          <w:szCs w:val="24"/>
        </w:rPr>
        <w:t>em</w:t>
      </w:r>
      <w:r w:rsidR="00A72622" w:rsidRPr="00C75BA8">
        <w:rPr>
          <w:rFonts w:ascii="Calibri" w:hAnsi="Calibri"/>
          <w:bCs/>
          <w:color w:val="000000"/>
          <w:sz w:val="24"/>
          <w:szCs w:val="24"/>
        </w:rPr>
        <w:t xml:space="preserve"> rozvoje sociálních služeb na území hl. m. Prahy na období 2019 </w:t>
      </w:r>
      <w:r w:rsidR="007C4924">
        <w:rPr>
          <w:rFonts w:ascii="Calibri" w:hAnsi="Calibri"/>
          <w:bCs/>
          <w:color w:val="000000"/>
          <w:sz w:val="24"/>
          <w:szCs w:val="24"/>
        </w:rPr>
        <w:t>-</w:t>
      </w:r>
      <w:r w:rsidR="00A72622" w:rsidRPr="00C75BA8">
        <w:rPr>
          <w:rFonts w:ascii="Calibri" w:hAnsi="Calibri"/>
          <w:bCs/>
          <w:color w:val="000000"/>
          <w:sz w:val="24"/>
          <w:szCs w:val="24"/>
        </w:rPr>
        <w:t xml:space="preserve"> 2021</w:t>
      </w:r>
      <w:r w:rsidR="00A72622" w:rsidRPr="00C75BA8">
        <w:rPr>
          <w:rFonts w:ascii="Calibri" w:hAnsi="Calibri"/>
          <w:sz w:val="24"/>
          <w:szCs w:val="24"/>
        </w:rPr>
        <w:t xml:space="preserve"> schváleného usnesením Zastupitelstva č. 2/38 ze dne 13. 12. 2018 (dále jen </w:t>
      </w:r>
      <w:r w:rsidR="00A72622" w:rsidRPr="00C809A8">
        <w:rPr>
          <w:rFonts w:ascii="Calibri" w:hAnsi="Calibri"/>
          <w:b/>
          <w:sz w:val="24"/>
          <w:szCs w:val="24"/>
        </w:rPr>
        <w:t>„SPRSS“</w:t>
      </w:r>
      <w:r w:rsidR="00A72622" w:rsidRPr="00C75BA8">
        <w:rPr>
          <w:rFonts w:ascii="Calibri" w:hAnsi="Calibri"/>
          <w:sz w:val="24"/>
          <w:szCs w:val="24"/>
        </w:rPr>
        <w:t xml:space="preserve">), </w:t>
      </w:r>
      <w:r w:rsidRPr="00103AC5">
        <w:rPr>
          <w:rFonts w:ascii="Calibri" w:hAnsi="Calibri"/>
          <w:sz w:val="24"/>
          <w:szCs w:val="24"/>
        </w:rPr>
        <w:t>a  v souladu s krajskými a národními strategiemi.</w:t>
      </w:r>
      <w:r w:rsidR="00B650DE">
        <w:rPr>
          <w:rFonts w:ascii="Calibri" w:hAnsi="Calibri"/>
          <w:sz w:val="24"/>
          <w:szCs w:val="24"/>
        </w:rPr>
        <w:t xml:space="preserve"> </w:t>
      </w:r>
      <w:r w:rsidR="00830FCE" w:rsidRPr="00B650DE">
        <w:rPr>
          <w:rFonts w:ascii="Calibri" w:hAnsi="Calibri" w:cs="Times New Roman"/>
          <w:sz w:val="24"/>
          <w:szCs w:val="24"/>
        </w:rPr>
        <w:t>SPRSS</w:t>
      </w:r>
      <w:r w:rsidR="00440E3F" w:rsidRPr="00B650DE">
        <w:rPr>
          <w:rFonts w:ascii="Calibri" w:hAnsi="Calibri" w:cs="Times New Roman"/>
          <w:sz w:val="24"/>
          <w:szCs w:val="24"/>
        </w:rPr>
        <w:t xml:space="preserve"> se rozumí</w:t>
      </w:r>
      <w:r w:rsidR="00440E3F" w:rsidRPr="00B650DE">
        <w:rPr>
          <w:rFonts w:ascii="Calibri" w:hAnsi="Calibri" w:cs="Times New Roman"/>
          <w:b/>
          <w:sz w:val="24"/>
          <w:szCs w:val="24"/>
        </w:rPr>
        <w:t xml:space="preserve"> </w:t>
      </w:r>
      <w:r w:rsidR="00440E3F" w:rsidRPr="00B650DE">
        <w:rPr>
          <w:rFonts w:ascii="Calibri" w:hAnsi="Calibri" w:cs="Times New Roman"/>
          <w:sz w:val="24"/>
          <w:szCs w:val="24"/>
        </w:rPr>
        <w:t xml:space="preserve">strategický dokument HMP (včetně jeho aktualizací) v oblasti poskytování sociálních </w:t>
      </w:r>
      <w:r w:rsidR="00440E3F" w:rsidRPr="00B650DE">
        <w:rPr>
          <w:rFonts w:asciiTheme="minorHAnsi" w:hAnsiTheme="minorHAnsi" w:cs="Times New Roman"/>
          <w:sz w:val="24"/>
          <w:szCs w:val="24"/>
        </w:rPr>
        <w:t>služeb vytvořený na základě principů, které vycházejí ze strategií nadnárodní, národní, krajské a obecní úrovně. Jedná se o strategický dokument HMP střednědobého charakteru, který je založen na základních trendech a odhadech demografického vývoje v</w:t>
      </w:r>
      <w:r w:rsidR="007C4924">
        <w:rPr>
          <w:rFonts w:asciiTheme="minorHAnsi" w:hAnsiTheme="minorHAnsi" w:cs="Times New Roman"/>
          <w:sz w:val="24"/>
          <w:szCs w:val="24"/>
        </w:rPr>
        <w:t> </w:t>
      </w:r>
      <w:r w:rsidR="00440E3F" w:rsidRPr="00B650DE">
        <w:rPr>
          <w:rFonts w:asciiTheme="minorHAnsi" w:hAnsiTheme="minorHAnsi" w:cs="Times New Roman"/>
          <w:sz w:val="24"/>
          <w:szCs w:val="24"/>
        </w:rPr>
        <w:t>dlouhodobější perspektivě. Jeho účelem je vytvoření finančně udržitelné funkční sítě sociálních služeb na území HMP reagující na potřeby osob, kterým</w:t>
      </w:r>
      <w:r w:rsidR="00440E3F" w:rsidRPr="00B650DE">
        <w:rPr>
          <w:rFonts w:ascii="Calibri" w:hAnsi="Calibri" w:cs="Times New Roman"/>
          <w:sz w:val="24"/>
          <w:szCs w:val="24"/>
        </w:rPr>
        <w:t xml:space="preserve"> jsou sociální služby určeny. Je jedním z významných praktických nástrojů řízení sociální politiky na úrovni HMP.</w:t>
      </w:r>
    </w:p>
    <w:p w14:paraId="05BBC11F" w14:textId="77777777" w:rsidR="00410D70" w:rsidRDefault="00410D70" w:rsidP="00613BEE">
      <w:pPr>
        <w:pStyle w:val="Odstavecseseznamem"/>
        <w:ind w:left="397" w:hanging="397"/>
        <w:rPr>
          <w:rFonts w:ascii="Calibri" w:hAnsi="Calibri"/>
          <w:sz w:val="24"/>
          <w:szCs w:val="24"/>
        </w:rPr>
      </w:pPr>
    </w:p>
    <w:p w14:paraId="48347EB7" w14:textId="77777777" w:rsidR="00A75C74" w:rsidRDefault="00A75C74" w:rsidP="00613BEE">
      <w:pPr>
        <w:pStyle w:val="Bezmezer"/>
      </w:pPr>
    </w:p>
    <w:p w14:paraId="0EEC870D" w14:textId="32EA268C" w:rsidR="00410D70" w:rsidRDefault="00410D70" w:rsidP="00613BEE">
      <w:pPr>
        <w:pStyle w:val="Bezmezer"/>
        <w:numPr>
          <w:ilvl w:val="0"/>
          <w:numId w:val="25"/>
        </w:numPr>
        <w:ind w:left="397" w:hanging="397"/>
        <w:jc w:val="both"/>
        <w:rPr>
          <w:rFonts w:ascii="Calibri" w:hAnsi="Calibri" w:cs="Times New Roman"/>
          <w:sz w:val="24"/>
          <w:szCs w:val="24"/>
        </w:rPr>
      </w:pPr>
      <w:r>
        <w:rPr>
          <w:rFonts w:ascii="Calibri" w:hAnsi="Calibri" w:cs="Times New Roman"/>
          <w:sz w:val="24"/>
          <w:szCs w:val="24"/>
        </w:rPr>
        <w:lastRenderedPageBreak/>
        <w:t>Dotační program projektu má za cíl</w:t>
      </w:r>
      <w:r w:rsidRPr="00C8755F">
        <w:rPr>
          <w:rFonts w:ascii="Calibri" w:hAnsi="Calibri" w:cs="Times New Roman"/>
          <w:sz w:val="24"/>
          <w:szCs w:val="24"/>
        </w:rPr>
        <w:t xml:space="preserve"> zajištění stability vybraných druhů sociálních služeb, které jsou zařazeny do krajské sítě sociálních služeb na území hl. m. Prahy </w:t>
      </w:r>
      <w:r>
        <w:rPr>
          <w:rFonts w:ascii="Calibri" w:hAnsi="Calibri" w:cs="Times New Roman"/>
          <w:sz w:val="24"/>
          <w:szCs w:val="24"/>
        </w:rPr>
        <w:t>a</w:t>
      </w:r>
      <w:r w:rsidRPr="00C8755F">
        <w:rPr>
          <w:rFonts w:ascii="Calibri" w:hAnsi="Calibri" w:cs="Times New Roman"/>
          <w:sz w:val="24"/>
          <w:szCs w:val="24"/>
        </w:rPr>
        <w:t xml:space="preserve"> zaj</w:t>
      </w:r>
      <w:r>
        <w:rPr>
          <w:rFonts w:ascii="Calibri" w:hAnsi="Calibri" w:cs="Times New Roman"/>
          <w:sz w:val="24"/>
          <w:szCs w:val="24"/>
        </w:rPr>
        <w:t>istit dostupnost</w:t>
      </w:r>
      <w:r w:rsidRPr="00C8755F">
        <w:rPr>
          <w:rFonts w:ascii="Calibri" w:hAnsi="Calibri" w:cs="Times New Roman"/>
          <w:sz w:val="24"/>
          <w:szCs w:val="24"/>
        </w:rPr>
        <w:t xml:space="preserve"> </w:t>
      </w:r>
      <w:r>
        <w:rPr>
          <w:rFonts w:ascii="Calibri" w:hAnsi="Calibri" w:cs="Times New Roman"/>
          <w:sz w:val="24"/>
          <w:szCs w:val="24"/>
        </w:rPr>
        <w:t>vybraných</w:t>
      </w:r>
      <w:r w:rsidRPr="00C8755F">
        <w:rPr>
          <w:rFonts w:ascii="Calibri" w:hAnsi="Calibri" w:cs="Times New Roman"/>
          <w:sz w:val="24"/>
          <w:szCs w:val="24"/>
        </w:rPr>
        <w:t xml:space="preserve"> sociálních služeb pro potřebné osoby na území hl. m. Prahy</w:t>
      </w:r>
      <w:r w:rsidRPr="009654D2">
        <w:rPr>
          <w:rFonts w:ascii="Calibri" w:hAnsi="Calibri" w:cs="Times New Roman"/>
          <w:sz w:val="24"/>
          <w:szCs w:val="24"/>
        </w:rPr>
        <w:t xml:space="preserve"> v souladu </w:t>
      </w:r>
      <w:r w:rsidRPr="00C8755F">
        <w:rPr>
          <w:rFonts w:ascii="Calibri" w:hAnsi="Calibri" w:cs="Times New Roman"/>
          <w:sz w:val="24"/>
          <w:szCs w:val="24"/>
        </w:rPr>
        <w:t>usnesení</w:t>
      </w:r>
      <w:r>
        <w:rPr>
          <w:rFonts w:ascii="Calibri" w:hAnsi="Calibri" w:cs="Times New Roman"/>
          <w:sz w:val="24"/>
          <w:szCs w:val="24"/>
        </w:rPr>
        <w:t>m</w:t>
      </w:r>
      <w:r w:rsidRPr="00C8755F">
        <w:rPr>
          <w:rFonts w:ascii="Calibri" w:hAnsi="Calibri" w:cs="Times New Roman"/>
          <w:sz w:val="24"/>
          <w:szCs w:val="24"/>
        </w:rPr>
        <w:t xml:space="preserve"> Rady HMP č. 3154 ze dne 18. 12. 2018 k projektovému záměru "Podpora vybraných druhů sociálních služeb v krajské síti sociálních služeb na území hl. m. Prahy na roky 2019</w:t>
      </w:r>
      <w:r w:rsidR="007C4924">
        <w:rPr>
          <w:rFonts w:ascii="Calibri" w:hAnsi="Calibri" w:cs="Times New Roman"/>
          <w:sz w:val="24"/>
          <w:szCs w:val="24"/>
        </w:rPr>
        <w:t xml:space="preserve"> </w:t>
      </w:r>
      <w:r w:rsidRPr="00C8755F">
        <w:rPr>
          <w:rFonts w:ascii="Calibri" w:hAnsi="Calibri" w:cs="Times New Roman"/>
          <w:sz w:val="24"/>
          <w:szCs w:val="24"/>
        </w:rPr>
        <w:t>-</w:t>
      </w:r>
      <w:r w:rsidR="007C4924">
        <w:rPr>
          <w:rFonts w:ascii="Calibri" w:hAnsi="Calibri" w:cs="Times New Roman"/>
          <w:sz w:val="24"/>
          <w:szCs w:val="24"/>
        </w:rPr>
        <w:t xml:space="preserve"> </w:t>
      </w:r>
      <w:r w:rsidRPr="00C8755F">
        <w:rPr>
          <w:rFonts w:ascii="Calibri" w:hAnsi="Calibri" w:cs="Times New Roman"/>
          <w:sz w:val="24"/>
          <w:szCs w:val="24"/>
        </w:rPr>
        <w:t xml:space="preserve">2021" financovaného z </w:t>
      </w:r>
      <w:r w:rsidR="007C4924">
        <w:rPr>
          <w:rFonts w:ascii="Calibri" w:hAnsi="Calibri" w:cs="Times New Roman"/>
          <w:sz w:val="24"/>
          <w:szCs w:val="24"/>
        </w:rPr>
        <w:t>OPZ</w:t>
      </w:r>
      <w:r>
        <w:rPr>
          <w:rFonts w:ascii="Calibri" w:hAnsi="Calibri" w:cs="Times New Roman"/>
          <w:sz w:val="24"/>
          <w:szCs w:val="24"/>
        </w:rPr>
        <w:t>.</w:t>
      </w:r>
    </w:p>
    <w:p w14:paraId="791AFE84" w14:textId="77777777" w:rsidR="00430878" w:rsidRPr="00103AC5" w:rsidRDefault="00430878" w:rsidP="00613BEE">
      <w:pPr>
        <w:pStyle w:val="Bezmezer"/>
        <w:ind w:left="397" w:hanging="397"/>
      </w:pPr>
    </w:p>
    <w:p w14:paraId="1BA3114E" w14:textId="3E74D72D" w:rsidR="00440E3F" w:rsidRPr="00B650DE" w:rsidRDefault="00481EA7" w:rsidP="00613BEE">
      <w:pPr>
        <w:pStyle w:val="Odstavecseseznamem"/>
        <w:numPr>
          <w:ilvl w:val="0"/>
          <w:numId w:val="25"/>
        </w:numPr>
        <w:spacing w:after="0" w:line="240" w:lineRule="auto"/>
        <w:ind w:left="397" w:hanging="397"/>
        <w:jc w:val="both"/>
        <w:rPr>
          <w:rFonts w:ascii="Calibri" w:hAnsi="Calibri"/>
          <w:sz w:val="24"/>
          <w:szCs w:val="24"/>
        </w:rPr>
      </w:pPr>
      <w:r w:rsidRPr="00B650DE">
        <w:rPr>
          <w:iCs/>
          <w:sz w:val="24"/>
          <w:szCs w:val="24"/>
        </w:rPr>
        <w:t xml:space="preserve">Dotací jsou peněžní prostředky poskytovatele (ČR, HMP a EU) poskytnuté Žadateli na Účel stanovený v Dotačním programu (dále jen </w:t>
      </w:r>
      <w:r w:rsidRPr="00B650DE">
        <w:rPr>
          <w:b/>
          <w:iCs/>
          <w:sz w:val="24"/>
          <w:szCs w:val="24"/>
        </w:rPr>
        <w:t>„</w:t>
      </w:r>
      <w:r w:rsidR="00553C49">
        <w:rPr>
          <w:iCs/>
          <w:sz w:val="24"/>
          <w:szCs w:val="24"/>
        </w:rPr>
        <w:t>d</w:t>
      </w:r>
      <w:r w:rsidRPr="00B650DE">
        <w:rPr>
          <w:iCs/>
          <w:sz w:val="24"/>
          <w:szCs w:val="24"/>
        </w:rPr>
        <w:t xml:space="preserve">otace“). </w:t>
      </w:r>
      <w:r w:rsidR="001F66C7" w:rsidRPr="00B650DE">
        <w:rPr>
          <w:rFonts w:ascii="Calibri" w:eastAsia="Tahoma" w:hAnsi="Calibri" w:cs="TimesNewRoman"/>
          <w:sz w:val="24"/>
          <w:szCs w:val="24"/>
          <w:lang w:eastAsia="ar-SA"/>
        </w:rPr>
        <w:t xml:space="preserve"> Dotaci lze poskytnout pouze na základě žádosti o poskytnutí dotace (dále jen „Žádost“).</w:t>
      </w:r>
    </w:p>
    <w:p w14:paraId="59DBA0D8" w14:textId="77777777" w:rsidR="005A20E4" w:rsidRPr="00103AC5" w:rsidRDefault="005A20E4" w:rsidP="00613BEE">
      <w:pPr>
        <w:pStyle w:val="Bezmezer"/>
        <w:ind w:left="397" w:hanging="397"/>
        <w:jc w:val="both"/>
        <w:rPr>
          <w:rFonts w:ascii="Calibri" w:hAnsi="Calibri"/>
          <w:sz w:val="24"/>
          <w:szCs w:val="24"/>
        </w:rPr>
      </w:pPr>
    </w:p>
    <w:p w14:paraId="45F4EC88" w14:textId="11346191" w:rsidR="00C8755F" w:rsidRPr="00410D70" w:rsidRDefault="005A20E4" w:rsidP="00613BEE">
      <w:pPr>
        <w:pStyle w:val="Bezmezer"/>
        <w:numPr>
          <w:ilvl w:val="0"/>
          <w:numId w:val="25"/>
        </w:numPr>
        <w:ind w:left="397" w:hanging="397"/>
        <w:jc w:val="both"/>
        <w:rPr>
          <w:rFonts w:ascii="Calibri" w:hAnsi="Calibri" w:cs="Times New Roman"/>
          <w:sz w:val="24"/>
          <w:szCs w:val="24"/>
        </w:rPr>
      </w:pPr>
      <w:r w:rsidRPr="00410D70">
        <w:rPr>
          <w:rFonts w:ascii="Calibri" w:hAnsi="Calibri" w:cs="Times New Roman"/>
          <w:sz w:val="24"/>
          <w:szCs w:val="24"/>
        </w:rPr>
        <w:t xml:space="preserve">Na poskytnutí dotace není právní nárok. Dotace nemusí být přidělena v požadované výši. Poskytnutí dotace v rámci </w:t>
      </w:r>
      <w:r w:rsidRPr="004E7F6E">
        <w:rPr>
          <w:rFonts w:ascii="Calibri" w:hAnsi="Calibri" w:cs="Times New Roman"/>
          <w:bCs/>
          <w:sz w:val="24"/>
          <w:szCs w:val="24"/>
        </w:rPr>
        <w:t xml:space="preserve">Dotačního programu </w:t>
      </w:r>
      <w:r w:rsidRPr="004E7F6E">
        <w:rPr>
          <w:rFonts w:ascii="Calibri" w:hAnsi="Calibri" w:cs="Times New Roman"/>
          <w:sz w:val="24"/>
          <w:szCs w:val="24"/>
        </w:rPr>
        <w:t xml:space="preserve">projektu nezakládá nárok na financování služby po ukončení Projektu. </w:t>
      </w:r>
    </w:p>
    <w:p w14:paraId="29CE8AAE" w14:textId="3F449166" w:rsidR="00C8755F" w:rsidRDefault="00C8755F" w:rsidP="00613BEE">
      <w:pPr>
        <w:pStyle w:val="Odstavecseseznamem"/>
        <w:spacing w:after="0"/>
        <w:ind w:left="397" w:hanging="397"/>
        <w:rPr>
          <w:rFonts w:ascii="Calibri" w:hAnsi="Calibri" w:cs="Times New Roman"/>
          <w:sz w:val="24"/>
          <w:szCs w:val="24"/>
        </w:rPr>
      </w:pPr>
    </w:p>
    <w:p w14:paraId="7DD49B0D" w14:textId="3DDAC36F" w:rsidR="002076BC" w:rsidRPr="00BF46BE" w:rsidRDefault="00CD090F" w:rsidP="00613BEE">
      <w:pPr>
        <w:pStyle w:val="Bezmezer"/>
        <w:numPr>
          <w:ilvl w:val="0"/>
          <w:numId w:val="25"/>
        </w:numPr>
        <w:ind w:left="397" w:hanging="397"/>
        <w:jc w:val="both"/>
        <w:rPr>
          <w:rFonts w:ascii="Calibri" w:hAnsi="Calibri"/>
          <w:sz w:val="24"/>
          <w:szCs w:val="24"/>
        </w:rPr>
      </w:pPr>
      <w:r w:rsidRPr="00BF46BE">
        <w:rPr>
          <w:rFonts w:ascii="Calibri" w:hAnsi="Calibri" w:cs="Times New Roman"/>
          <w:sz w:val="24"/>
          <w:szCs w:val="24"/>
        </w:rPr>
        <w:t xml:space="preserve">Dotační program projektu je v působnosti Odboru </w:t>
      </w:r>
      <w:r w:rsidRPr="00BF46BE">
        <w:rPr>
          <w:rFonts w:ascii="Calibri" w:hAnsi="Calibri"/>
          <w:sz w:val="24"/>
          <w:szCs w:val="24"/>
        </w:rPr>
        <w:t xml:space="preserve">Zdravotnictví, sociální péče a prevence Magistrátu hlavního města Prahy (dále jen </w:t>
      </w:r>
      <w:r w:rsidRPr="00BF46BE">
        <w:rPr>
          <w:rFonts w:ascii="Calibri" w:hAnsi="Calibri"/>
          <w:b/>
          <w:sz w:val="24"/>
          <w:szCs w:val="24"/>
        </w:rPr>
        <w:t>„ZSP“</w:t>
      </w:r>
      <w:r w:rsidRPr="00BF46BE">
        <w:rPr>
          <w:rFonts w:ascii="Calibri" w:hAnsi="Calibri"/>
          <w:sz w:val="24"/>
          <w:szCs w:val="24"/>
        </w:rPr>
        <w:t xml:space="preserve"> nebo </w:t>
      </w:r>
      <w:r w:rsidRPr="00BF46BE">
        <w:rPr>
          <w:rFonts w:ascii="Calibri" w:hAnsi="Calibri"/>
          <w:b/>
          <w:sz w:val="24"/>
          <w:szCs w:val="24"/>
        </w:rPr>
        <w:t>„Odbor MHMP“</w:t>
      </w:r>
      <w:r w:rsidRPr="00BF46BE">
        <w:rPr>
          <w:rFonts w:ascii="Calibri" w:hAnsi="Calibri"/>
          <w:sz w:val="24"/>
          <w:szCs w:val="24"/>
        </w:rPr>
        <w:t>).</w:t>
      </w:r>
      <w:r w:rsidR="002076BC" w:rsidRPr="00BF46BE">
        <w:rPr>
          <w:rFonts w:ascii="Calibri" w:hAnsi="Calibri"/>
          <w:sz w:val="24"/>
          <w:szCs w:val="24"/>
        </w:rPr>
        <w:t xml:space="preserve"> Konzultace k vyhlášenému Dotačnímu programu projektu poskytují, a to ve lhůtě od </w:t>
      </w:r>
      <w:r w:rsidR="00FD42F6">
        <w:rPr>
          <w:rFonts w:ascii="Calibri" w:hAnsi="Calibri"/>
          <w:sz w:val="24"/>
          <w:szCs w:val="24"/>
        </w:rPr>
        <w:t>4</w:t>
      </w:r>
      <w:r w:rsidR="00C01F8F">
        <w:rPr>
          <w:rFonts w:ascii="Calibri" w:hAnsi="Calibri"/>
          <w:sz w:val="24"/>
          <w:szCs w:val="24"/>
        </w:rPr>
        <w:t>.</w:t>
      </w:r>
      <w:r w:rsidR="00C8755F" w:rsidRPr="00BF46BE">
        <w:rPr>
          <w:rFonts w:ascii="Calibri" w:hAnsi="Calibri"/>
          <w:sz w:val="24"/>
          <w:szCs w:val="24"/>
        </w:rPr>
        <w:t xml:space="preserve"> </w:t>
      </w:r>
      <w:r w:rsidR="00FD42F6">
        <w:rPr>
          <w:rFonts w:ascii="Calibri" w:hAnsi="Calibri"/>
          <w:sz w:val="24"/>
          <w:szCs w:val="24"/>
        </w:rPr>
        <w:t>4</w:t>
      </w:r>
      <w:r w:rsidR="00C8755F" w:rsidRPr="00BF46BE">
        <w:rPr>
          <w:rFonts w:ascii="Calibri" w:hAnsi="Calibri"/>
          <w:sz w:val="24"/>
          <w:szCs w:val="24"/>
        </w:rPr>
        <w:t xml:space="preserve">. </w:t>
      </w:r>
      <w:r w:rsidR="002076BC" w:rsidRPr="00BF46BE">
        <w:rPr>
          <w:rFonts w:ascii="Calibri" w:hAnsi="Calibri"/>
          <w:sz w:val="24"/>
          <w:szCs w:val="24"/>
        </w:rPr>
        <w:t xml:space="preserve">2019: </w:t>
      </w:r>
    </w:p>
    <w:p w14:paraId="604D4179" w14:textId="77777777" w:rsidR="002076BC" w:rsidRPr="00103AC5" w:rsidRDefault="002076BC" w:rsidP="00613BEE">
      <w:pPr>
        <w:pStyle w:val="Bezmezer"/>
        <w:ind w:left="1191" w:hanging="397"/>
        <w:jc w:val="both"/>
        <w:rPr>
          <w:rFonts w:ascii="Calibri" w:hAnsi="Calibri"/>
          <w:bCs/>
          <w:sz w:val="24"/>
          <w:szCs w:val="24"/>
        </w:rPr>
      </w:pPr>
      <w:r w:rsidRPr="00BF46BE">
        <w:rPr>
          <w:rFonts w:ascii="Calibri" w:hAnsi="Calibri"/>
          <w:bCs/>
          <w:sz w:val="24"/>
          <w:szCs w:val="24"/>
        </w:rPr>
        <w:t xml:space="preserve">PhDr. Pavel Uhlík (email: </w:t>
      </w:r>
      <w:hyperlink r:id="rId8" w:history="1">
        <w:r w:rsidRPr="00BF46BE">
          <w:rPr>
            <w:rStyle w:val="Hypertextovodkaz"/>
            <w:rFonts w:ascii="Calibri" w:eastAsia="Times New Roman" w:hAnsi="Calibri" w:cs="Times New Roman"/>
            <w:bCs/>
            <w:sz w:val="24"/>
            <w:szCs w:val="24"/>
            <w:lang w:eastAsia="cs-CZ"/>
          </w:rPr>
          <w:t>pavel.uhlik@praha.eu</w:t>
        </w:r>
      </w:hyperlink>
      <w:r w:rsidRPr="00BF46BE">
        <w:rPr>
          <w:rFonts w:ascii="Calibri" w:hAnsi="Calibri"/>
          <w:bCs/>
          <w:sz w:val="24"/>
          <w:szCs w:val="24"/>
        </w:rPr>
        <w:t>, tel.: 236 004 161),</w:t>
      </w:r>
    </w:p>
    <w:p w14:paraId="0ED5B3A0" w14:textId="77777777" w:rsidR="002076BC" w:rsidRPr="00103AC5" w:rsidRDefault="002076BC" w:rsidP="00613BEE">
      <w:pPr>
        <w:pStyle w:val="Bezmezer"/>
        <w:ind w:left="1191" w:hanging="397"/>
        <w:jc w:val="both"/>
        <w:rPr>
          <w:rFonts w:ascii="Calibri" w:hAnsi="Calibri"/>
          <w:bCs/>
          <w:sz w:val="24"/>
          <w:szCs w:val="24"/>
        </w:rPr>
      </w:pPr>
      <w:r w:rsidRPr="00103AC5">
        <w:rPr>
          <w:rFonts w:ascii="Calibri" w:hAnsi="Calibri"/>
          <w:bCs/>
          <w:sz w:val="24"/>
          <w:szCs w:val="24"/>
        </w:rPr>
        <w:t xml:space="preserve">Mgr. Nikola Krátká (email: </w:t>
      </w:r>
      <w:hyperlink r:id="rId9" w:history="1">
        <w:r w:rsidRPr="00103AC5">
          <w:rPr>
            <w:rStyle w:val="Hypertextovodkaz"/>
            <w:rFonts w:ascii="Calibri" w:eastAsia="Times New Roman" w:hAnsi="Calibri" w:cs="Times New Roman"/>
            <w:bCs/>
            <w:sz w:val="24"/>
            <w:szCs w:val="24"/>
            <w:lang w:eastAsia="cs-CZ"/>
          </w:rPr>
          <w:t>nikola.kratka@praha.eu</w:t>
        </w:r>
      </w:hyperlink>
      <w:r w:rsidRPr="00103AC5">
        <w:rPr>
          <w:rFonts w:ascii="Calibri" w:hAnsi="Calibri"/>
          <w:bCs/>
          <w:sz w:val="24"/>
          <w:szCs w:val="24"/>
        </w:rPr>
        <w:t>, tel.: 236 004 199),</w:t>
      </w:r>
    </w:p>
    <w:p w14:paraId="3758AD7C" w14:textId="77777777" w:rsidR="002076BC" w:rsidRPr="00103AC5" w:rsidRDefault="002076BC" w:rsidP="00613BEE">
      <w:pPr>
        <w:pStyle w:val="Bezmezer"/>
        <w:ind w:left="1191" w:hanging="397"/>
        <w:jc w:val="both"/>
        <w:rPr>
          <w:rFonts w:ascii="Calibri" w:hAnsi="Calibri"/>
          <w:bCs/>
          <w:sz w:val="24"/>
          <w:szCs w:val="24"/>
        </w:rPr>
      </w:pPr>
      <w:r w:rsidRPr="00103AC5">
        <w:rPr>
          <w:rFonts w:ascii="Calibri" w:hAnsi="Calibri"/>
          <w:bCs/>
          <w:sz w:val="24"/>
          <w:szCs w:val="24"/>
        </w:rPr>
        <w:t>Mgr. Vendula Hlobilová (email:</w:t>
      </w:r>
      <w:r w:rsidRPr="00103AC5">
        <w:t xml:space="preserve"> </w:t>
      </w:r>
      <w:r w:rsidRPr="00103AC5">
        <w:rPr>
          <w:rStyle w:val="Hypertextovodkaz"/>
          <w:rFonts w:ascii="Calibri" w:eastAsia="Times New Roman" w:hAnsi="Calibri" w:cs="Times New Roman"/>
          <w:bCs/>
          <w:sz w:val="24"/>
          <w:szCs w:val="24"/>
          <w:lang w:eastAsia="cs-CZ"/>
        </w:rPr>
        <w:t>vendula.hlobilova@praha.eu</w:t>
      </w:r>
      <w:r w:rsidRPr="00103AC5">
        <w:rPr>
          <w:rFonts w:ascii="Calibri" w:hAnsi="Calibri"/>
          <w:bCs/>
          <w:sz w:val="24"/>
          <w:szCs w:val="24"/>
        </w:rPr>
        <w:t>, tel.: 236 004 198),</w:t>
      </w:r>
    </w:p>
    <w:p w14:paraId="600435E7" w14:textId="77777777" w:rsidR="002076BC" w:rsidRPr="00103AC5" w:rsidRDefault="002076BC" w:rsidP="00613BEE">
      <w:pPr>
        <w:pStyle w:val="Bezmezer"/>
        <w:ind w:left="1191" w:hanging="397"/>
        <w:jc w:val="both"/>
        <w:rPr>
          <w:rFonts w:ascii="Calibri" w:hAnsi="Calibri"/>
          <w:bCs/>
          <w:sz w:val="24"/>
          <w:szCs w:val="24"/>
        </w:rPr>
      </w:pPr>
      <w:r>
        <w:rPr>
          <w:rFonts w:ascii="Calibri" w:hAnsi="Calibri"/>
          <w:bCs/>
          <w:sz w:val="24"/>
          <w:szCs w:val="24"/>
        </w:rPr>
        <w:t>ThDr.</w:t>
      </w:r>
      <w:r w:rsidRPr="00103AC5">
        <w:rPr>
          <w:rFonts w:ascii="Calibri" w:hAnsi="Calibri"/>
          <w:bCs/>
          <w:sz w:val="24"/>
          <w:szCs w:val="24"/>
        </w:rPr>
        <w:t xml:space="preserve"> Ruth Kubíčková, Ph.D. (email: </w:t>
      </w:r>
      <w:hyperlink r:id="rId10" w:history="1">
        <w:r w:rsidRPr="00103AC5">
          <w:rPr>
            <w:rStyle w:val="Hypertextovodkaz"/>
            <w:rFonts w:ascii="Calibri" w:hAnsi="Calibri"/>
            <w:bCs/>
            <w:sz w:val="24"/>
            <w:szCs w:val="24"/>
          </w:rPr>
          <w:t>ruth.kubickova@praha.eu</w:t>
        </w:r>
      </w:hyperlink>
      <w:r w:rsidRPr="00103AC5">
        <w:rPr>
          <w:rFonts w:ascii="Calibri" w:hAnsi="Calibri"/>
          <w:bCs/>
          <w:sz w:val="24"/>
          <w:szCs w:val="24"/>
        </w:rPr>
        <w:t>, tel.: 236 004 167)</w:t>
      </w:r>
      <w:r>
        <w:rPr>
          <w:rFonts w:ascii="Calibri" w:hAnsi="Calibri"/>
          <w:bCs/>
          <w:sz w:val="24"/>
          <w:szCs w:val="24"/>
        </w:rPr>
        <w:t>.</w:t>
      </w:r>
    </w:p>
    <w:p w14:paraId="1C94C02D" w14:textId="77777777" w:rsidR="00CD090F" w:rsidRPr="002076BC" w:rsidRDefault="002076BC" w:rsidP="00613BEE">
      <w:pPr>
        <w:pStyle w:val="Bezmezer"/>
        <w:ind w:left="1191" w:hanging="397"/>
        <w:jc w:val="both"/>
        <w:rPr>
          <w:rFonts w:ascii="Calibri" w:hAnsi="Calibri" w:cs="Times New Roman"/>
          <w:sz w:val="24"/>
          <w:szCs w:val="24"/>
        </w:rPr>
      </w:pPr>
      <w:r w:rsidRPr="002076BC">
        <w:rPr>
          <w:rFonts w:ascii="Calibri" w:hAnsi="Calibri" w:cs="Times New Roman"/>
          <w:sz w:val="24"/>
          <w:szCs w:val="24"/>
        </w:rPr>
        <w:t>Konzultace nebudou probíhat v poslední den lhůty pro podání Žádosti.</w:t>
      </w:r>
    </w:p>
    <w:p w14:paraId="119D4F59" w14:textId="77777777" w:rsidR="002076BC" w:rsidRPr="00FF0EA2" w:rsidRDefault="002076BC" w:rsidP="00613BEE">
      <w:pPr>
        <w:pStyle w:val="Bezmezer"/>
        <w:ind w:left="397" w:hanging="397"/>
        <w:jc w:val="both"/>
        <w:rPr>
          <w:rFonts w:ascii="Calibri" w:hAnsi="Calibri" w:cs="Times New Roman"/>
          <w:sz w:val="24"/>
          <w:szCs w:val="24"/>
        </w:rPr>
      </w:pPr>
    </w:p>
    <w:p w14:paraId="5AF9CA5E" w14:textId="1F8CFC24" w:rsidR="00FF0EA2" w:rsidRDefault="00FF0EA2" w:rsidP="00613BEE">
      <w:pPr>
        <w:pStyle w:val="Bezmezer"/>
        <w:numPr>
          <w:ilvl w:val="0"/>
          <w:numId w:val="25"/>
        </w:numPr>
        <w:ind w:left="397" w:hanging="397"/>
        <w:jc w:val="both"/>
        <w:rPr>
          <w:rFonts w:ascii="Calibri" w:eastAsia="Times New Roman" w:hAnsi="Calibri" w:cs="Times New Roman"/>
          <w:sz w:val="24"/>
          <w:szCs w:val="24"/>
          <w:lang w:eastAsia="cs-CZ"/>
        </w:rPr>
      </w:pPr>
      <w:r w:rsidRPr="00103AC5">
        <w:rPr>
          <w:rFonts w:ascii="Calibri" w:eastAsia="Times New Roman" w:hAnsi="Calibri" w:cs="Times New Roman"/>
          <w:sz w:val="24"/>
          <w:szCs w:val="24"/>
          <w:lang w:eastAsia="cs-CZ"/>
        </w:rPr>
        <w:t xml:space="preserve">HMP si </w:t>
      </w:r>
      <w:r>
        <w:rPr>
          <w:rFonts w:ascii="Calibri" w:eastAsia="Times New Roman" w:hAnsi="Calibri" w:cs="Times New Roman"/>
          <w:sz w:val="24"/>
          <w:szCs w:val="24"/>
          <w:lang w:eastAsia="cs-CZ"/>
        </w:rPr>
        <w:t>vyhrazuje právo</w:t>
      </w:r>
      <w:r w:rsidRPr="00103AC5">
        <w:rPr>
          <w:rFonts w:ascii="Calibri" w:eastAsia="Times New Roman" w:hAnsi="Calibri" w:cs="Times New Roman"/>
          <w:sz w:val="24"/>
          <w:szCs w:val="24"/>
          <w:lang w:eastAsia="cs-CZ"/>
        </w:rPr>
        <w:t xml:space="preserve"> vyhlášení dalšího doplňujícího Dotačního programu v rámci Projektu. </w:t>
      </w:r>
    </w:p>
    <w:p w14:paraId="3BD56B77" w14:textId="77777777" w:rsidR="00FF0EA2" w:rsidRDefault="00FF0EA2" w:rsidP="00787B55">
      <w:pPr>
        <w:pStyle w:val="Bezmezer"/>
        <w:ind w:left="360"/>
        <w:jc w:val="both"/>
        <w:rPr>
          <w:rFonts w:ascii="Calibri" w:hAnsi="Calibri" w:cs="Times New Roman"/>
          <w:sz w:val="24"/>
          <w:szCs w:val="24"/>
        </w:rPr>
      </w:pPr>
    </w:p>
    <w:p w14:paraId="05887C9D" w14:textId="234BFED0" w:rsidR="00D072AF" w:rsidRDefault="00D072AF" w:rsidP="00C809A8">
      <w:pPr>
        <w:keepNext/>
        <w:keepLines/>
        <w:spacing w:before="120" w:after="0" w:line="240" w:lineRule="auto"/>
        <w:ind w:left="714" w:hanging="357"/>
        <w:jc w:val="center"/>
        <w:outlineLvl w:val="0"/>
        <w:rPr>
          <w:rFonts w:ascii="Calibri" w:eastAsiaTheme="majorEastAsia" w:hAnsi="Calibri" w:cs="Times New Roman"/>
          <w:b/>
          <w:bCs/>
          <w:color w:val="365F91" w:themeColor="accent1" w:themeShade="BF"/>
          <w:sz w:val="24"/>
          <w:szCs w:val="24"/>
        </w:rPr>
      </w:pPr>
      <w:r>
        <w:rPr>
          <w:rFonts w:ascii="Calibri" w:eastAsiaTheme="majorEastAsia" w:hAnsi="Calibri" w:cs="Times New Roman"/>
          <w:b/>
          <w:bCs/>
          <w:color w:val="365F91" w:themeColor="accent1" w:themeShade="BF"/>
          <w:sz w:val="24"/>
          <w:szCs w:val="24"/>
        </w:rPr>
        <w:t xml:space="preserve"> Část II</w:t>
      </w:r>
    </w:p>
    <w:p w14:paraId="60215858" w14:textId="77777777" w:rsidR="00D072AF" w:rsidRPr="00C809A8" w:rsidRDefault="00D072AF" w:rsidP="00C809A8">
      <w:pPr>
        <w:keepNext/>
        <w:keepLines/>
        <w:spacing w:after="0" w:line="240" w:lineRule="auto"/>
        <w:ind w:left="714" w:hanging="357"/>
        <w:jc w:val="center"/>
        <w:outlineLvl w:val="0"/>
        <w:rPr>
          <w:rFonts w:ascii="Calibri" w:eastAsiaTheme="majorEastAsia" w:hAnsi="Calibri" w:cs="Times New Roman"/>
          <w:b/>
          <w:bCs/>
          <w:color w:val="365F91" w:themeColor="accent1" w:themeShade="BF"/>
          <w:sz w:val="24"/>
          <w:szCs w:val="24"/>
        </w:rPr>
      </w:pPr>
      <w:r w:rsidRPr="00C8755F">
        <w:rPr>
          <w:rFonts w:ascii="Calibri" w:eastAsiaTheme="majorEastAsia" w:hAnsi="Calibri" w:cs="Times New Roman"/>
          <w:b/>
          <w:bCs/>
          <w:color w:val="365F91" w:themeColor="accent1" w:themeShade="BF"/>
          <w:sz w:val="24"/>
          <w:szCs w:val="24"/>
        </w:rPr>
        <w:t>Okruh způsobilých žadatelů</w:t>
      </w:r>
    </w:p>
    <w:p w14:paraId="7A47027B" w14:textId="77777777" w:rsidR="005A20E4" w:rsidRPr="00103AC5" w:rsidRDefault="005A20E4" w:rsidP="00345C5E">
      <w:pPr>
        <w:pStyle w:val="Bezmezer"/>
        <w:ind w:hanging="360"/>
      </w:pPr>
    </w:p>
    <w:p w14:paraId="113712B6" w14:textId="0A6739C1" w:rsidR="005A20E4" w:rsidRPr="00345C5E" w:rsidRDefault="005A20E4" w:rsidP="00613BEE">
      <w:pPr>
        <w:pStyle w:val="Bezmezer"/>
        <w:numPr>
          <w:ilvl w:val="0"/>
          <w:numId w:val="59"/>
        </w:numPr>
        <w:ind w:left="397" w:hanging="397"/>
        <w:jc w:val="both"/>
        <w:rPr>
          <w:rFonts w:ascii="Calibri" w:eastAsia="Times New Roman" w:hAnsi="Calibri" w:cs="Times New Roman"/>
          <w:sz w:val="24"/>
          <w:szCs w:val="24"/>
          <w:lang w:eastAsia="cs-CZ"/>
        </w:rPr>
      </w:pPr>
      <w:r w:rsidRPr="00103AC5">
        <w:rPr>
          <w:rFonts w:ascii="Calibri" w:eastAsia="Times New Roman" w:hAnsi="Calibri" w:cs="Times New Roman"/>
          <w:sz w:val="24"/>
          <w:szCs w:val="24"/>
          <w:lang w:eastAsia="cs-CZ"/>
        </w:rPr>
        <w:t xml:space="preserve">Okruh způsobilých žadatelů, kteří mohou o dotaci žádat, jsou poskytovatelé sociálních služeb, </w:t>
      </w:r>
      <w:r w:rsidRPr="00345C5E">
        <w:rPr>
          <w:rFonts w:ascii="Calibri" w:eastAsia="Times New Roman" w:hAnsi="Calibri" w:cs="Times New Roman"/>
          <w:sz w:val="24"/>
          <w:szCs w:val="24"/>
          <w:lang w:eastAsia="cs-CZ"/>
        </w:rPr>
        <w:t>kteří splňují všechny níže uvedené podmínky:</w:t>
      </w:r>
    </w:p>
    <w:p w14:paraId="08D5847F" w14:textId="357B27F6" w:rsidR="005A20E4" w:rsidRPr="00345C5E" w:rsidRDefault="005A20E4" w:rsidP="00613BEE">
      <w:pPr>
        <w:pStyle w:val="Bezmezer"/>
        <w:numPr>
          <w:ilvl w:val="0"/>
          <w:numId w:val="26"/>
        </w:numPr>
        <w:ind w:left="794" w:hanging="397"/>
        <w:jc w:val="both"/>
        <w:rPr>
          <w:rFonts w:ascii="Calibri" w:eastAsia="Times New Roman" w:hAnsi="Calibri" w:cs="Times New Roman"/>
          <w:sz w:val="24"/>
          <w:szCs w:val="24"/>
          <w:lang w:eastAsia="cs-CZ"/>
        </w:rPr>
      </w:pPr>
      <w:r w:rsidRPr="00345C5E">
        <w:rPr>
          <w:rFonts w:ascii="Calibri" w:eastAsia="Times New Roman" w:hAnsi="Calibri" w:cs="Times New Roman"/>
          <w:sz w:val="24"/>
          <w:szCs w:val="24"/>
          <w:lang w:eastAsia="cs-CZ"/>
        </w:rPr>
        <w:t>získali oprávnění k poskytování sociálních služeb dle zákona o sociálních službách (dále jen „</w:t>
      </w:r>
      <w:r w:rsidR="006C3E6F" w:rsidRPr="00345C5E">
        <w:rPr>
          <w:rFonts w:ascii="Calibri" w:eastAsia="Times New Roman" w:hAnsi="Calibri" w:cs="Times New Roman"/>
          <w:sz w:val="24"/>
          <w:szCs w:val="24"/>
          <w:lang w:eastAsia="cs-CZ"/>
        </w:rPr>
        <w:t>R</w:t>
      </w:r>
      <w:r w:rsidRPr="00345C5E">
        <w:rPr>
          <w:rFonts w:ascii="Calibri" w:eastAsia="Times New Roman" w:hAnsi="Calibri" w:cs="Times New Roman"/>
          <w:sz w:val="24"/>
          <w:szCs w:val="24"/>
          <w:lang w:eastAsia="cs-CZ"/>
        </w:rPr>
        <w:t>egistrac</w:t>
      </w:r>
      <w:r w:rsidR="00410D70">
        <w:rPr>
          <w:rFonts w:ascii="Calibri" w:eastAsia="Times New Roman" w:hAnsi="Calibri" w:cs="Times New Roman"/>
          <w:sz w:val="24"/>
          <w:szCs w:val="24"/>
          <w:lang w:eastAsia="cs-CZ"/>
        </w:rPr>
        <w:t>e</w:t>
      </w:r>
      <w:r w:rsidRPr="00345C5E">
        <w:rPr>
          <w:rFonts w:ascii="Calibri" w:eastAsia="Times New Roman" w:hAnsi="Calibri" w:cs="Times New Roman"/>
          <w:sz w:val="24"/>
          <w:szCs w:val="24"/>
          <w:lang w:eastAsia="cs-CZ"/>
        </w:rPr>
        <w:t>“),</w:t>
      </w:r>
    </w:p>
    <w:p w14:paraId="0248AE58" w14:textId="2DA460A4" w:rsidR="005A20E4" w:rsidRPr="00345C5E" w:rsidRDefault="005A20E4" w:rsidP="00613BEE">
      <w:pPr>
        <w:pStyle w:val="Bezmezer"/>
        <w:numPr>
          <w:ilvl w:val="0"/>
          <w:numId w:val="26"/>
        </w:numPr>
        <w:ind w:left="794" w:hanging="397"/>
        <w:jc w:val="both"/>
        <w:rPr>
          <w:rFonts w:ascii="Calibri" w:eastAsia="Times New Roman" w:hAnsi="Calibri" w:cs="Times New Roman"/>
          <w:sz w:val="24"/>
          <w:szCs w:val="24"/>
          <w:lang w:eastAsia="cs-CZ"/>
        </w:rPr>
      </w:pPr>
      <w:r w:rsidRPr="00345C5E">
        <w:rPr>
          <w:rFonts w:ascii="Calibri" w:eastAsia="Times New Roman" w:hAnsi="Calibri" w:cs="Times New Roman"/>
          <w:sz w:val="24"/>
          <w:szCs w:val="24"/>
          <w:lang w:eastAsia="cs-CZ"/>
        </w:rPr>
        <w:t>poskytují sociální služby na území HMP nebo zejména občanům HMP; jedná se o</w:t>
      </w:r>
      <w:r w:rsidR="007C4924">
        <w:rPr>
          <w:rFonts w:ascii="Calibri" w:eastAsia="Times New Roman" w:hAnsi="Calibri" w:cs="Times New Roman"/>
          <w:sz w:val="24"/>
          <w:szCs w:val="24"/>
          <w:lang w:eastAsia="cs-CZ"/>
        </w:rPr>
        <w:t> </w:t>
      </w:r>
      <w:r w:rsidRPr="00345C5E">
        <w:rPr>
          <w:rFonts w:ascii="Calibri" w:eastAsia="Times New Roman" w:hAnsi="Calibri" w:cs="Times New Roman"/>
          <w:sz w:val="24"/>
          <w:szCs w:val="24"/>
          <w:lang w:eastAsia="cs-CZ"/>
        </w:rPr>
        <w:t xml:space="preserve">poskytovatele zařazené do Krajské sítě sociálních služeb, disponujících </w:t>
      </w:r>
      <w:r w:rsidR="009D59FB" w:rsidRPr="00345C5E">
        <w:rPr>
          <w:rFonts w:ascii="Calibri" w:eastAsia="Times New Roman" w:hAnsi="Calibri" w:cs="Times New Roman"/>
          <w:sz w:val="24"/>
          <w:szCs w:val="24"/>
          <w:lang w:eastAsia="cs-CZ"/>
        </w:rPr>
        <w:t>Pověřením k poskytování služby obecného hospodářského zájmu (dále jen „</w:t>
      </w:r>
      <w:r w:rsidRPr="00345C5E">
        <w:rPr>
          <w:rFonts w:ascii="Calibri" w:eastAsia="Times New Roman" w:hAnsi="Calibri" w:cs="Times New Roman"/>
          <w:sz w:val="24"/>
          <w:szCs w:val="24"/>
          <w:lang w:eastAsia="cs-CZ"/>
        </w:rPr>
        <w:t>Pověření</w:t>
      </w:r>
      <w:r w:rsidR="009D59FB" w:rsidRPr="00345C5E">
        <w:rPr>
          <w:rFonts w:ascii="Calibri" w:eastAsia="Times New Roman" w:hAnsi="Calibri" w:cs="Times New Roman"/>
          <w:sz w:val="24"/>
          <w:szCs w:val="24"/>
          <w:lang w:eastAsia="cs-CZ"/>
        </w:rPr>
        <w:t>“)</w:t>
      </w:r>
      <w:r w:rsidR="006C3E6F" w:rsidRPr="00345C5E">
        <w:rPr>
          <w:rFonts w:ascii="Calibri" w:eastAsia="Times New Roman" w:hAnsi="Calibri" w:cs="Times New Roman"/>
          <w:sz w:val="24"/>
          <w:szCs w:val="24"/>
          <w:lang w:eastAsia="cs-CZ"/>
        </w:rPr>
        <w:t>,</w:t>
      </w:r>
      <w:r w:rsidR="009D59FB" w:rsidRPr="00345C5E">
        <w:rPr>
          <w:rFonts w:ascii="Calibri" w:eastAsia="Times New Roman" w:hAnsi="Calibri" w:cs="Times New Roman"/>
          <w:sz w:val="24"/>
          <w:szCs w:val="24"/>
          <w:lang w:eastAsia="cs-CZ"/>
        </w:rPr>
        <w:t xml:space="preserve"> schváleným</w:t>
      </w:r>
      <w:r w:rsidR="009D59FB" w:rsidRPr="00345C5E">
        <w:t xml:space="preserve"> </w:t>
      </w:r>
      <w:r w:rsidR="009D59FB" w:rsidRPr="00345C5E">
        <w:rPr>
          <w:rFonts w:ascii="Calibri" w:eastAsia="Times New Roman" w:hAnsi="Calibri" w:cs="Times New Roman"/>
          <w:sz w:val="24"/>
          <w:szCs w:val="24"/>
          <w:lang w:eastAsia="cs-CZ"/>
        </w:rPr>
        <w:t>usnesením Zastupitelstva HMP č. 2/38 ze dne 13. 12. 2018,</w:t>
      </w:r>
      <w:r w:rsidRPr="00345C5E">
        <w:rPr>
          <w:rFonts w:ascii="Calibri" w:eastAsia="Times New Roman" w:hAnsi="Calibri" w:cs="Times New Roman"/>
          <w:sz w:val="24"/>
          <w:szCs w:val="24"/>
          <w:lang w:eastAsia="cs-CZ"/>
        </w:rPr>
        <w:t xml:space="preserve"> </w:t>
      </w:r>
      <w:r w:rsidR="00345C5E" w:rsidRPr="00345C5E">
        <w:rPr>
          <w:rFonts w:ascii="Calibri" w:hAnsi="Calibri" w:cs="Times New Roman"/>
          <w:sz w:val="24"/>
          <w:szCs w:val="24"/>
        </w:rPr>
        <w:t>vydaným</w:t>
      </w:r>
      <w:r w:rsidR="00345C5E">
        <w:rPr>
          <w:rFonts w:ascii="Calibri" w:hAnsi="Calibri" w:cs="Times New Roman"/>
          <w:sz w:val="24"/>
          <w:szCs w:val="24"/>
        </w:rPr>
        <w:t xml:space="preserve"> v</w:t>
      </w:r>
      <w:r w:rsidR="007C4924">
        <w:rPr>
          <w:rFonts w:ascii="Calibri" w:hAnsi="Calibri" w:cs="Times New Roman"/>
          <w:sz w:val="24"/>
          <w:szCs w:val="24"/>
        </w:rPr>
        <w:t> </w:t>
      </w:r>
      <w:r w:rsidR="00345C5E">
        <w:rPr>
          <w:rFonts w:ascii="Calibri" w:hAnsi="Calibri" w:cs="Times New Roman"/>
          <w:sz w:val="24"/>
          <w:szCs w:val="24"/>
        </w:rPr>
        <w:t xml:space="preserve"> souladu s  Rozhodnutím</w:t>
      </w:r>
      <w:r w:rsidR="00345C5E" w:rsidRPr="00345C5E">
        <w:rPr>
          <w:rFonts w:ascii="Calibri" w:hAnsi="Calibri" w:cs="Times New Roman"/>
          <w:sz w:val="24"/>
          <w:szCs w:val="24"/>
        </w:rPr>
        <w:t xml:space="preserve"> komise ze dne 20. prosince 2011 o použití čl. 106 odst. 2 Smlouvy o  fungování Evropské unie na státní podporu ve formě vyrovnávací platby za závazek veřejné služby udělené určitým podnikům pověřeným poskytováním služeb obecného hospodářského zájmu (2012/21/EU).</w:t>
      </w:r>
    </w:p>
    <w:p w14:paraId="39550DE8" w14:textId="65CEBA2C" w:rsidR="005A20E4" w:rsidRPr="00103AC5" w:rsidRDefault="005A20E4" w:rsidP="00613BEE">
      <w:pPr>
        <w:pStyle w:val="Bezmezer"/>
        <w:numPr>
          <w:ilvl w:val="0"/>
          <w:numId w:val="26"/>
        </w:numPr>
        <w:ind w:left="794" w:hanging="397"/>
        <w:jc w:val="both"/>
        <w:rPr>
          <w:rFonts w:ascii="Calibri" w:eastAsia="Times New Roman" w:hAnsi="Calibri" w:cs="Times New Roman"/>
          <w:sz w:val="24"/>
          <w:szCs w:val="24"/>
          <w:lang w:eastAsia="cs-CZ"/>
        </w:rPr>
      </w:pPr>
      <w:r w:rsidRPr="00103AC5">
        <w:rPr>
          <w:rFonts w:ascii="Calibri" w:eastAsia="Times New Roman" w:hAnsi="Calibri" w:cs="Times New Roman"/>
          <w:sz w:val="24"/>
          <w:szCs w:val="24"/>
          <w:lang w:eastAsia="cs-CZ"/>
        </w:rPr>
        <w:t>splňují podmínky Projektu</w:t>
      </w:r>
      <w:r w:rsidR="009D59FB" w:rsidRPr="00103AC5">
        <w:rPr>
          <w:rFonts w:ascii="Calibri" w:eastAsia="Times New Roman" w:hAnsi="Calibri" w:cs="Times New Roman"/>
          <w:sz w:val="24"/>
          <w:szCs w:val="24"/>
          <w:lang w:eastAsia="cs-CZ"/>
        </w:rPr>
        <w:t>, definované ve smlouvě o poskytnutí dotace</w:t>
      </w:r>
      <w:r w:rsidRPr="00103AC5">
        <w:rPr>
          <w:rFonts w:ascii="Calibri" w:eastAsia="Times New Roman" w:hAnsi="Calibri" w:cs="Times New Roman"/>
          <w:sz w:val="24"/>
          <w:szCs w:val="24"/>
          <w:lang w:eastAsia="cs-CZ"/>
        </w:rPr>
        <w:t xml:space="preserve"> a</w:t>
      </w:r>
      <w:r w:rsidR="00787B55">
        <w:rPr>
          <w:rFonts w:ascii="Calibri" w:eastAsia="Times New Roman" w:hAnsi="Calibri" w:cs="Times New Roman"/>
          <w:sz w:val="24"/>
          <w:szCs w:val="24"/>
          <w:lang w:eastAsia="cs-CZ"/>
        </w:rPr>
        <w:t xml:space="preserve"> Dotačním programu projektu</w:t>
      </w:r>
      <w:r w:rsidRPr="00103AC5">
        <w:rPr>
          <w:rFonts w:ascii="Calibri" w:eastAsia="Times New Roman" w:hAnsi="Calibri" w:cs="Times New Roman"/>
          <w:sz w:val="24"/>
          <w:szCs w:val="24"/>
          <w:lang w:eastAsia="cs-CZ"/>
        </w:rPr>
        <w:t xml:space="preserve">. </w:t>
      </w:r>
    </w:p>
    <w:p w14:paraId="0F035002" w14:textId="77777777" w:rsidR="005A20E4" w:rsidRPr="00103AC5" w:rsidRDefault="005A20E4" w:rsidP="00345C5E">
      <w:pPr>
        <w:pStyle w:val="Bezmezer"/>
        <w:ind w:hanging="360"/>
      </w:pPr>
    </w:p>
    <w:p w14:paraId="493803E6" w14:textId="77777777" w:rsidR="00103AC5" w:rsidRDefault="00103AC5" w:rsidP="00103AC5">
      <w:pPr>
        <w:pStyle w:val="Bezmezer"/>
        <w:jc w:val="both"/>
        <w:rPr>
          <w:rFonts w:ascii="Calibri" w:eastAsia="Times New Roman" w:hAnsi="Calibri" w:cs="Times New Roman"/>
          <w:sz w:val="24"/>
          <w:szCs w:val="24"/>
          <w:lang w:eastAsia="cs-CZ"/>
        </w:rPr>
      </w:pPr>
    </w:p>
    <w:p w14:paraId="04FA6061" w14:textId="77777777" w:rsidR="00103AC5" w:rsidRDefault="00103AC5" w:rsidP="00103AC5">
      <w:pPr>
        <w:pStyle w:val="Bezmezer"/>
        <w:jc w:val="both"/>
        <w:rPr>
          <w:rFonts w:ascii="Calibri" w:eastAsia="Times New Roman" w:hAnsi="Calibri" w:cs="Times New Roman"/>
          <w:sz w:val="24"/>
          <w:szCs w:val="24"/>
          <w:lang w:eastAsia="cs-CZ"/>
        </w:rPr>
      </w:pPr>
    </w:p>
    <w:p w14:paraId="20EE0534" w14:textId="77777777" w:rsidR="00A75C74" w:rsidRDefault="00A75C74" w:rsidP="00103AC5">
      <w:pPr>
        <w:pStyle w:val="Bezmezer"/>
        <w:jc w:val="both"/>
        <w:rPr>
          <w:rFonts w:ascii="Calibri" w:eastAsia="Times New Roman" w:hAnsi="Calibri" w:cs="Times New Roman"/>
          <w:sz w:val="24"/>
          <w:szCs w:val="24"/>
          <w:lang w:eastAsia="cs-CZ"/>
        </w:rPr>
      </w:pPr>
    </w:p>
    <w:p w14:paraId="664A63BF" w14:textId="77777777" w:rsidR="00A75C74" w:rsidRPr="00103AC5" w:rsidRDefault="00A75C74" w:rsidP="00103AC5">
      <w:pPr>
        <w:pStyle w:val="Bezmezer"/>
        <w:jc w:val="both"/>
        <w:rPr>
          <w:rFonts w:ascii="Calibri" w:eastAsia="Times New Roman" w:hAnsi="Calibri" w:cs="Times New Roman"/>
          <w:sz w:val="24"/>
          <w:szCs w:val="24"/>
          <w:lang w:eastAsia="cs-CZ"/>
        </w:rPr>
      </w:pPr>
    </w:p>
    <w:p w14:paraId="14502A34" w14:textId="77777777" w:rsidR="006A530A" w:rsidRPr="00613BEE" w:rsidRDefault="006A530A" w:rsidP="00613BEE">
      <w:pPr>
        <w:pStyle w:val="Bezmezer"/>
        <w:jc w:val="center"/>
        <w:rPr>
          <w:b/>
          <w:color w:val="365F91" w:themeColor="accent1" w:themeShade="BF"/>
          <w:sz w:val="24"/>
          <w:szCs w:val="24"/>
        </w:rPr>
      </w:pPr>
      <w:r w:rsidRPr="00613BEE">
        <w:rPr>
          <w:rFonts w:asciiTheme="minorHAnsi" w:hAnsiTheme="minorHAnsi"/>
          <w:b/>
          <w:color w:val="365F91" w:themeColor="accent1" w:themeShade="BF"/>
          <w:sz w:val="24"/>
          <w:szCs w:val="24"/>
        </w:rPr>
        <w:lastRenderedPageBreak/>
        <w:t>Část II</w:t>
      </w:r>
      <w:r w:rsidR="00D072AF" w:rsidRPr="00613BEE">
        <w:rPr>
          <w:rFonts w:asciiTheme="minorHAnsi" w:hAnsiTheme="minorHAnsi"/>
          <w:b/>
          <w:color w:val="365F91" w:themeColor="accent1" w:themeShade="BF"/>
          <w:sz w:val="24"/>
          <w:szCs w:val="24"/>
        </w:rPr>
        <w:t>I</w:t>
      </w:r>
    </w:p>
    <w:p w14:paraId="626FD2DF" w14:textId="77777777" w:rsidR="006A530A" w:rsidRDefault="006A530A" w:rsidP="00103AC5">
      <w:pPr>
        <w:pStyle w:val="Bezmezer"/>
        <w:ind w:left="567"/>
        <w:jc w:val="center"/>
        <w:rPr>
          <w:rFonts w:ascii="Segoe UI" w:hAnsi="Segoe UI" w:cs="Segoe UI"/>
          <w:b/>
          <w:color w:val="365F91" w:themeColor="accent1" w:themeShade="BF"/>
          <w:sz w:val="21"/>
          <w:szCs w:val="21"/>
        </w:rPr>
      </w:pPr>
      <w:r w:rsidRPr="00480FA4">
        <w:rPr>
          <w:rFonts w:ascii="Segoe UI" w:hAnsi="Segoe UI" w:cs="Segoe UI"/>
          <w:b/>
          <w:color w:val="365F91" w:themeColor="accent1" w:themeShade="BF"/>
          <w:sz w:val="21"/>
          <w:szCs w:val="21"/>
        </w:rPr>
        <w:t>Předpokládaný celkový objem finančních prostředků</w:t>
      </w:r>
    </w:p>
    <w:p w14:paraId="76F9A7E0" w14:textId="77777777" w:rsidR="00136610" w:rsidRPr="00480FA4" w:rsidRDefault="00136610" w:rsidP="00103AC5">
      <w:pPr>
        <w:pStyle w:val="Bezmezer"/>
        <w:ind w:left="567"/>
        <w:jc w:val="center"/>
        <w:rPr>
          <w:rFonts w:ascii="Segoe UI" w:hAnsi="Segoe UI" w:cs="Segoe UI"/>
          <w:b/>
          <w:color w:val="365F91" w:themeColor="accent1" w:themeShade="BF"/>
          <w:sz w:val="21"/>
          <w:szCs w:val="21"/>
        </w:rPr>
      </w:pPr>
      <w:r>
        <w:rPr>
          <w:rFonts w:ascii="Segoe UI" w:hAnsi="Segoe UI" w:cs="Segoe UI"/>
          <w:b/>
          <w:color w:val="365F91" w:themeColor="accent1" w:themeShade="BF"/>
          <w:sz w:val="21"/>
          <w:szCs w:val="21"/>
        </w:rPr>
        <w:t>Maximální výše dotace</w:t>
      </w:r>
    </w:p>
    <w:p w14:paraId="62AA27AC" w14:textId="77777777" w:rsidR="006C3E6F" w:rsidRPr="00480FA4" w:rsidRDefault="006C3E6F" w:rsidP="00103AC5">
      <w:pPr>
        <w:pStyle w:val="Bezmezer"/>
        <w:ind w:left="567"/>
        <w:jc w:val="center"/>
        <w:rPr>
          <w:rFonts w:ascii="Calibri" w:hAnsi="Calibri"/>
          <w:b/>
          <w:color w:val="365F91" w:themeColor="accent1" w:themeShade="BF"/>
          <w:sz w:val="24"/>
          <w:szCs w:val="24"/>
        </w:rPr>
      </w:pPr>
    </w:p>
    <w:p w14:paraId="34C0CF85" w14:textId="54858E0E" w:rsidR="0077036D" w:rsidRPr="00103AC5" w:rsidRDefault="0077036D" w:rsidP="00613BEE">
      <w:pPr>
        <w:pStyle w:val="Bezmezer"/>
        <w:numPr>
          <w:ilvl w:val="0"/>
          <w:numId w:val="45"/>
        </w:numPr>
        <w:ind w:left="397" w:hanging="397"/>
        <w:jc w:val="both"/>
        <w:rPr>
          <w:rFonts w:ascii="Calibri" w:hAnsi="Calibri" w:cs="Times New Roman"/>
          <w:sz w:val="24"/>
          <w:szCs w:val="24"/>
        </w:rPr>
      </w:pPr>
      <w:r w:rsidRPr="00480FA4">
        <w:rPr>
          <w:rFonts w:ascii="Calibri" w:hAnsi="Calibri"/>
          <w:sz w:val="24"/>
          <w:szCs w:val="24"/>
        </w:rPr>
        <w:t xml:space="preserve">Finanční prostředky budou poskytnuty z Projektu financovaného na základě </w:t>
      </w:r>
      <w:r w:rsidRPr="00480FA4">
        <w:rPr>
          <w:rFonts w:ascii="Calibri" w:hAnsi="Calibri" w:cs="Times New Roman"/>
          <w:bCs/>
          <w:sz w:val="24"/>
          <w:szCs w:val="24"/>
        </w:rPr>
        <w:t>Rozhodnutí</w:t>
      </w:r>
      <w:r w:rsidRPr="00480FA4">
        <w:rPr>
          <w:rFonts w:ascii="Calibri" w:hAnsi="Calibri"/>
          <w:sz w:val="24"/>
          <w:szCs w:val="24"/>
        </w:rPr>
        <w:t xml:space="preserve"> </w:t>
      </w:r>
      <w:r w:rsidR="00480FA4" w:rsidRPr="00480FA4">
        <w:rPr>
          <w:rFonts w:ascii="Calibri" w:hAnsi="Calibri"/>
          <w:sz w:val="24"/>
          <w:szCs w:val="24"/>
        </w:rPr>
        <w:t>o</w:t>
      </w:r>
      <w:r w:rsidR="00F35EAB">
        <w:rPr>
          <w:rFonts w:ascii="Calibri" w:hAnsi="Calibri"/>
          <w:sz w:val="24"/>
          <w:szCs w:val="24"/>
        </w:rPr>
        <w:t> </w:t>
      </w:r>
      <w:r w:rsidR="00480FA4" w:rsidRPr="00480FA4">
        <w:rPr>
          <w:rFonts w:ascii="Calibri" w:hAnsi="Calibri"/>
          <w:sz w:val="24"/>
          <w:szCs w:val="24"/>
        </w:rPr>
        <w:t xml:space="preserve">poskytnutí dotace </w:t>
      </w:r>
      <w:r w:rsidRPr="00480FA4">
        <w:rPr>
          <w:rFonts w:ascii="Calibri" w:hAnsi="Calibri"/>
          <w:sz w:val="24"/>
          <w:szCs w:val="24"/>
        </w:rPr>
        <w:t>OPZ v letech 2019 až 2021 a ze spoluúčasti příjemce, tedy HMP</w:t>
      </w:r>
      <w:r w:rsidRPr="00103AC5">
        <w:rPr>
          <w:rFonts w:ascii="Calibri" w:hAnsi="Calibri"/>
          <w:sz w:val="24"/>
          <w:szCs w:val="24"/>
        </w:rPr>
        <w:t xml:space="preserve">. Rozpad zdrojů financování dle Výzvy OPZ </w:t>
      </w:r>
      <w:r w:rsidR="007C4924">
        <w:rPr>
          <w:rFonts w:ascii="Calibri" w:hAnsi="Calibri"/>
          <w:sz w:val="24"/>
          <w:szCs w:val="24"/>
        </w:rPr>
        <w:t>-</w:t>
      </w:r>
      <w:r w:rsidRPr="00103AC5">
        <w:rPr>
          <w:rFonts w:ascii="Calibri" w:hAnsi="Calibri"/>
          <w:sz w:val="24"/>
          <w:szCs w:val="24"/>
        </w:rPr>
        <w:t xml:space="preserve"> EU 50 %, státní rozpočet 45 %, HMP 5 %.</w:t>
      </w:r>
    </w:p>
    <w:p w14:paraId="63E5F994" w14:textId="77777777" w:rsidR="0077036D" w:rsidRPr="00103AC5" w:rsidRDefault="0077036D" w:rsidP="00613BEE">
      <w:pPr>
        <w:pStyle w:val="Bezmezer"/>
        <w:ind w:left="397" w:hanging="397"/>
        <w:jc w:val="both"/>
        <w:rPr>
          <w:rFonts w:ascii="Calibri" w:hAnsi="Calibri" w:cs="Times New Roman"/>
          <w:sz w:val="24"/>
          <w:szCs w:val="24"/>
        </w:rPr>
      </w:pPr>
    </w:p>
    <w:p w14:paraId="08A4A1EC" w14:textId="104B1D20" w:rsidR="0077036D" w:rsidRPr="00345C5E" w:rsidRDefault="00272E20" w:rsidP="00613BEE">
      <w:pPr>
        <w:pStyle w:val="Bezmezer"/>
        <w:numPr>
          <w:ilvl w:val="0"/>
          <w:numId w:val="45"/>
        </w:numPr>
        <w:ind w:left="397" w:hanging="397"/>
        <w:jc w:val="both"/>
        <w:rPr>
          <w:rFonts w:ascii="Calibri" w:hAnsi="Calibri" w:cs="Times New Roman"/>
          <w:sz w:val="24"/>
          <w:szCs w:val="24"/>
        </w:rPr>
      </w:pPr>
      <w:r w:rsidRPr="00345C5E">
        <w:rPr>
          <w:rFonts w:ascii="Calibri" w:hAnsi="Calibri"/>
          <w:sz w:val="24"/>
          <w:szCs w:val="24"/>
        </w:rPr>
        <w:t>Předpokládaný celkový objem peněžn</w:t>
      </w:r>
      <w:r w:rsidR="00BD2A56">
        <w:rPr>
          <w:rFonts w:ascii="Calibri" w:hAnsi="Calibri"/>
          <w:sz w:val="24"/>
          <w:szCs w:val="24"/>
        </w:rPr>
        <w:t>ích prostředků v Dotačním programu</w:t>
      </w:r>
      <w:r w:rsidRPr="00345C5E">
        <w:rPr>
          <w:rFonts w:ascii="Calibri" w:hAnsi="Calibri"/>
          <w:sz w:val="24"/>
          <w:szCs w:val="24"/>
        </w:rPr>
        <w:t xml:space="preserve"> Projektu na roky 2019 </w:t>
      </w:r>
      <w:r w:rsidR="007C4924">
        <w:rPr>
          <w:rFonts w:ascii="Calibri" w:hAnsi="Calibri"/>
          <w:sz w:val="24"/>
          <w:szCs w:val="24"/>
        </w:rPr>
        <w:t>-</w:t>
      </w:r>
      <w:r w:rsidRPr="00345C5E">
        <w:rPr>
          <w:rFonts w:ascii="Calibri" w:hAnsi="Calibri"/>
          <w:sz w:val="24"/>
          <w:szCs w:val="24"/>
        </w:rPr>
        <w:t xml:space="preserve"> 2021</w:t>
      </w:r>
      <w:r w:rsidRPr="00345C5E">
        <w:rPr>
          <w:rFonts w:ascii="Calibri" w:hAnsi="Calibri" w:cs="Times New Roman"/>
          <w:sz w:val="24"/>
          <w:szCs w:val="24"/>
        </w:rPr>
        <w:t xml:space="preserve"> činí </w:t>
      </w:r>
      <w:r w:rsidR="00480FA4">
        <w:rPr>
          <w:rFonts w:ascii="Calibri" w:hAnsi="Calibri" w:cs="Calibri"/>
          <w:sz w:val="24"/>
          <w:szCs w:val="24"/>
        </w:rPr>
        <w:t xml:space="preserve">410 556 694,80 </w:t>
      </w:r>
      <w:r w:rsidRPr="00345C5E">
        <w:rPr>
          <w:rFonts w:ascii="Calibri" w:hAnsi="Calibri" w:cs="Times New Roman"/>
          <w:sz w:val="24"/>
          <w:szCs w:val="24"/>
        </w:rPr>
        <w:t>Kč, z čehož se jedná o prostředky EU ve výši 50</w:t>
      </w:r>
      <w:r w:rsidR="007C4924">
        <w:rPr>
          <w:rFonts w:ascii="Calibri" w:hAnsi="Calibri" w:cs="Times New Roman"/>
          <w:sz w:val="24"/>
          <w:szCs w:val="24"/>
        </w:rPr>
        <w:t> </w:t>
      </w:r>
      <w:r w:rsidRPr="00345C5E">
        <w:rPr>
          <w:rFonts w:ascii="Calibri" w:hAnsi="Calibri" w:cs="Times New Roman"/>
          <w:sz w:val="24"/>
          <w:szCs w:val="24"/>
        </w:rPr>
        <w:t xml:space="preserve"> %, tj. </w:t>
      </w:r>
      <w:r w:rsidR="00480FA4">
        <w:rPr>
          <w:rFonts w:ascii="Calibri" w:hAnsi="Calibri" w:cs="Calibri"/>
          <w:sz w:val="24"/>
          <w:szCs w:val="24"/>
        </w:rPr>
        <w:t xml:space="preserve">205 278 347,40 </w:t>
      </w:r>
      <w:r w:rsidRPr="00345C5E">
        <w:rPr>
          <w:rFonts w:ascii="Calibri" w:hAnsi="Calibri" w:cs="Times New Roman"/>
          <w:sz w:val="24"/>
          <w:szCs w:val="24"/>
        </w:rPr>
        <w:t xml:space="preserve">Kč, prostředky státního rozpočtu ČR ve výši 45 %, tj. </w:t>
      </w:r>
      <w:r w:rsidR="00480FA4">
        <w:rPr>
          <w:rFonts w:ascii="Calibri" w:hAnsi="Calibri" w:cs="Calibri"/>
          <w:sz w:val="24"/>
          <w:szCs w:val="24"/>
        </w:rPr>
        <w:t xml:space="preserve">184 750 512,66 </w:t>
      </w:r>
      <w:r w:rsidRPr="00345C5E">
        <w:rPr>
          <w:rFonts w:ascii="Calibri" w:hAnsi="Calibri" w:cs="Times New Roman"/>
          <w:sz w:val="24"/>
          <w:szCs w:val="24"/>
        </w:rPr>
        <w:t xml:space="preserve">Kč a prostředky z rozpočtu HMP ve výši 5 %, tj. </w:t>
      </w:r>
      <w:r w:rsidR="00480FA4">
        <w:rPr>
          <w:rFonts w:ascii="Calibri" w:hAnsi="Calibri" w:cs="Calibri"/>
          <w:sz w:val="24"/>
          <w:szCs w:val="24"/>
        </w:rPr>
        <w:t xml:space="preserve">20 527 834,74 </w:t>
      </w:r>
      <w:r w:rsidRPr="00345C5E">
        <w:rPr>
          <w:rFonts w:ascii="Calibri" w:hAnsi="Calibri" w:cs="Times New Roman"/>
          <w:sz w:val="24"/>
          <w:szCs w:val="24"/>
        </w:rPr>
        <w:t>Kč.</w:t>
      </w:r>
    </w:p>
    <w:p w14:paraId="2EE49794" w14:textId="77777777" w:rsidR="00345C5E" w:rsidRPr="00345C5E" w:rsidRDefault="00345C5E" w:rsidP="00613BEE">
      <w:pPr>
        <w:pStyle w:val="Bezmezer"/>
        <w:ind w:left="397" w:hanging="397"/>
        <w:jc w:val="both"/>
        <w:rPr>
          <w:rFonts w:ascii="Calibri" w:hAnsi="Calibri" w:cs="Times New Roman"/>
          <w:sz w:val="24"/>
          <w:szCs w:val="24"/>
        </w:rPr>
      </w:pPr>
    </w:p>
    <w:p w14:paraId="1297CF20" w14:textId="77777777" w:rsidR="0077036D" w:rsidRPr="004E7F6E" w:rsidRDefault="0077036D" w:rsidP="00613BEE">
      <w:pPr>
        <w:pStyle w:val="Bezmezer"/>
        <w:numPr>
          <w:ilvl w:val="0"/>
          <w:numId w:val="45"/>
        </w:numPr>
        <w:ind w:left="397" w:hanging="397"/>
        <w:jc w:val="both"/>
        <w:rPr>
          <w:rFonts w:ascii="Calibri" w:hAnsi="Calibri" w:cs="Times New Roman"/>
          <w:sz w:val="24"/>
          <w:szCs w:val="24"/>
        </w:rPr>
      </w:pPr>
      <w:r w:rsidRPr="00103AC5">
        <w:rPr>
          <w:rFonts w:ascii="Calibri" w:hAnsi="Calibri" w:cs="Times New Roman"/>
          <w:bCs/>
          <w:sz w:val="24"/>
          <w:szCs w:val="24"/>
        </w:rPr>
        <w:t>Objem finančních prostředků poskytovaných v rámci Dotačního programu projektu je limitován celkovým objemem prostředků Projektu.</w:t>
      </w:r>
    </w:p>
    <w:p w14:paraId="0820A68E" w14:textId="77777777" w:rsidR="004E7F6E" w:rsidRDefault="004E7F6E" w:rsidP="00613BEE">
      <w:pPr>
        <w:pStyle w:val="Odstavecseseznamem"/>
        <w:spacing w:line="240" w:lineRule="auto"/>
        <w:ind w:left="397" w:hanging="397"/>
        <w:rPr>
          <w:rFonts w:ascii="Calibri" w:hAnsi="Calibri" w:cs="Times New Roman"/>
          <w:sz w:val="24"/>
          <w:szCs w:val="24"/>
        </w:rPr>
      </w:pPr>
    </w:p>
    <w:p w14:paraId="67A245B0" w14:textId="1D9F89D4" w:rsidR="004E7F6E" w:rsidRDefault="004E7F6E" w:rsidP="00613BEE">
      <w:pPr>
        <w:pStyle w:val="Bezmezer"/>
        <w:numPr>
          <w:ilvl w:val="0"/>
          <w:numId w:val="45"/>
        </w:numPr>
        <w:ind w:left="397" w:hanging="397"/>
        <w:jc w:val="both"/>
        <w:rPr>
          <w:rFonts w:ascii="Calibri" w:hAnsi="Calibri"/>
          <w:sz w:val="24"/>
          <w:szCs w:val="24"/>
        </w:rPr>
      </w:pPr>
      <w:r w:rsidRPr="00103AC5">
        <w:rPr>
          <w:rFonts w:ascii="Calibri" w:hAnsi="Calibri"/>
          <w:sz w:val="24"/>
          <w:szCs w:val="24"/>
        </w:rPr>
        <w:t xml:space="preserve">Dotace </w:t>
      </w:r>
      <w:r w:rsidRPr="00EE4DBF">
        <w:rPr>
          <w:rFonts w:ascii="Calibri" w:hAnsi="Calibri"/>
          <w:sz w:val="24"/>
          <w:szCs w:val="24"/>
        </w:rPr>
        <w:t xml:space="preserve">se poskytuje v souladu s Rozhodnutím Evropské komise č. 2012/21 ze dne 20. prosince 2011 ve formě vyrovnávací platby za závazek veřejné služby a na základě Pověření. </w:t>
      </w:r>
    </w:p>
    <w:p w14:paraId="64F1C79A" w14:textId="77777777" w:rsidR="0077036D" w:rsidRPr="00103AC5" w:rsidRDefault="0077036D" w:rsidP="00613BEE">
      <w:pPr>
        <w:pStyle w:val="Bezmezer"/>
        <w:ind w:left="397" w:hanging="397"/>
        <w:jc w:val="both"/>
        <w:rPr>
          <w:rFonts w:ascii="Calibri" w:hAnsi="Calibri" w:cs="Times New Roman"/>
          <w:sz w:val="24"/>
          <w:szCs w:val="24"/>
        </w:rPr>
      </w:pPr>
    </w:p>
    <w:p w14:paraId="2A835C01" w14:textId="77777777" w:rsidR="00BA4B65" w:rsidRPr="00103AC5" w:rsidRDefault="00BA4B65" w:rsidP="00613BEE">
      <w:pPr>
        <w:pStyle w:val="Bezmezer"/>
        <w:numPr>
          <w:ilvl w:val="0"/>
          <w:numId w:val="45"/>
        </w:numPr>
        <w:ind w:left="397" w:hanging="397"/>
        <w:jc w:val="both"/>
        <w:rPr>
          <w:rFonts w:ascii="Calibri" w:hAnsi="Calibri" w:cs="Times New Roman"/>
          <w:sz w:val="24"/>
          <w:szCs w:val="24"/>
        </w:rPr>
      </w:pPr>
      <w:r w:rsidRPr="00103AC5">
        <w:rPr>
          <w:rFonts w:ascii="Calibri" w:hAnsi="Calibri" w:cs="Times New Roman"/>
          <w:sz w:val="24"/>
          <w:szCs w:val="24"/>
        </w:rPr>
        <w:t xml:space="preserve">Maximální výše dotace </w:t>
      </w:r>
      <w:r w:rsidR="002527AE" w:rsidRPr="00103AC5">
        <w:rPr>
          <w:rFonts w:ascii="Calibri" w:hAnsi="Calibri" w:cs="Times New Roman"/>
          <w:sz w:val="24"/>
          <w:szCs w:val="24"/>
        </w:rPr>
        <w:t xml:space="preserve">pro poskytovatele </w:t>
      </w:r>
      <w:r w:rsidR="00D12C62" w:rsidRPr="00103AC5">
        <w:rPr>
          <w:rFonts w:ascii="Calibri" w:hAnsi="Calibri" w:cs="Times New Roman"/>
          <w:sz w:val="24"/>
          <w:szCs w:val="24"/>
        </w:rPr>
        <w:t xml:space="preserve">vybraných </w:t>
      </w:r>
      <w:r w:rsidR="002527AE" w:rsidRPr="00103AC5">
        <w:rPr>
          <w:rFonts w:ascii="Calibri" w:hAnsi="Calibri" w:cs="Times New Roman"/>
          <w:sz w:val="24"/>
          <w:szCs w:val="24"/>
        </w:rPr>
        <w:t xml:space="preserve">sociálních služeb </w:t>
      </w:r>
      <w:r w:rsidRPr="00103AC5">
        <w:rPr>
          <w:rFonts w:ascii="Calibri" w:hAnsi="Calibri" w:cs="Times New Roman"/>
          <w:sz w:val="24"/>
          <w:szCs w:val="24"/>
        </w:rPr>
        <w:t xml:space="preserve">je stanovena podle následujícího výpočtu: </w:t>
      </w:r>
    </w:p>
    <w:p w14:paraId="0C6D4BE9" w14:textId="77777777" w:rsidR="00430878" w:rsidRPr="00103AC5" w:rsidRDefault="00430878" w:rsidP="00613BEE">
      <w:pPr>
        <w:pStyle w:val="Bezmezer"/>
        <w:ind w:left="397" w:hanging="397"/>
        <w:rPr>
          <w:rFonts w:ascii="Calibri" w:hAnsi="Calibri"/>
          <w:sz w:val="16"/>
          <w:szCs w:val="16"/>
        </w:rPr>
      </w:pPr>
    </w:p>
    <w:p w14:paraId="5805F04D" w14:textId="77777777" w:rsidR="00BA4B65" w:rsidRPr="00103AC5" w:rsidRDefault="00BA4B65" w:rsidP="00613BEE">
      <w:pPr>
        <w:pStyle w:val="Bezmezer"/>
        <w:ind w:left="794" w:hanging="397"/>
        <w:jc w:val="both"/>
        <w:rPr>
          <w:rFonts w:ascii="Calibri" w:hAnsi="Calibri" w:cs="Times New Roman"/>
          <w:sz w:val="24"/>
          <w:szCs w:val="24"/>
        </w:rPr>
      </w:pPr>
      <w:r w:rsidRPr="00103AC5">
        <w:rPr>
          <w:rFonts w:ascii="Calibri" w:hAnsi="Calibri" w:cs="Times New Roman"/>
          <w:sz w:val="24"/>
          <w:szCs w:val="24"/>
        </w:rPr>
        <w:t>kapacitní jednotka x cenová hladina upravená o kritéri</w:t>
      </w:r>
      <w:r w:rsidR="00031070" w:rsidRPr="00103AC5">
        <w:rPr>
          <w:rFonts w:ascii="Calibri" w:hAnsi="Calibri" w:cs="Times New Roman"/>
          <w:sz w:val="24"/>
          <w:szCs w:val="24"/>
        </w:rPr>
        <w:t>a pro posouzení sociální služby</w:t>
      </w:r>
      <w:r w:rsidRPr="00103AC5">
        <w:rPr>
          <w:rFonts w:ascii="Calibri" w:hAnsi="Calibri" w:cs="Times New Roman"/>
          <w:sz w:val="24"/>
          <w:szCs w:val="24"/>
        </w:rPr>
        <w:t xml:space="preserve"> </w:t>
      </w:r>
    </w:p>
    <w:p w14:paraId="76E09ED3" w14:textId="77777777" w:rsidR="00430878" w:rsidRPr="00103AC5" w:rsidRDefault="00430878" w:rsidP="00613BEE">
      <w:pPr>
        <w:pStyle w:val="Bezmezer"/>
        <w:ind w:left="794" w:hanging="397"/>
        <w:rPr>
          <w:rFonts w:ascii="Calibri" w:hAnsi="Calibri"/>
          <w:sz w:val="16"/>
          <w:szCs w:val="16"/>
        </w:rPr>
      </w:pPr>
    </w:p>
    <w:p w14:paraId="2239F13A" w14:textId="77777777" w:rsidR="00BD3CAD" w:rsidRPr="00103AC5" w:rsidRDefault="00BA4B65" w:rsidP="00613BEE">
      <w:pPr>
        <w:pStyle w:val="Bezmezer"/>
        <w:ind w:left="794" w:hanging="397"/>
        <w:jc w:val="both"/>
        <w:rPr>
          <w:rFonts w:ascii="Calibri" w:hAnsi="Calibri" w:cs="Times New Roman"/>
          <w:sz w:val="24"/>
          <w:szCs w:val="24"/>
        </w:rPr>
      </w:pPr>
      <w:r w:rsidRPr="00103AC5">
        <w:rPr>
          <w:rFonts w:ascii="Calibri" w:hAnsi="Calibri" w:cs="Times New Roman"/>
          <w:sz w:val="24"/>
          <w:szCs w:val="24"/>
        </w:rPr>
        <w:t xml:space="preserve">V rámci výpočtu se rozumí: </w:t>
      </w:r>
    </w:p>
    <w:p w14:paraId="29CFEEF3" w14:textId="6E40A13E" w:rsidR="00F35EAB" w:rsidRDefault="00BA4B65" w:rsidP="00613BEE">
      <w:pPr>
        <w:pStyle w:val="Bezmezer"/>
        <w:ind w:left="794" w:hanging="397"/>
        <w:jc w:val="both"/>
        <w:rPr>
          <w:rFonts w:ascii="Calibri" w:hAnsi="Calibri" w:cs="Times New Roman"/>
          <w:sz w:val="24"/>
          <w:szCs w:val="24"/>
        </w:rPr>
      </w:pPr>
      <w:r w:rsidRPr="00103AC5">
        <w:rPr>
          <w:rFonts w:ascii="Calibri" w:hAnsi="Calibri" w:cs="Times New Roman"/>
          <w:sz w:val="24"/>
          <w:szCs w:val="24"/>
        </w:rPr>
        <w:t xml:space="preserve">kapacitní jednotka </w:t>
      </w:r>
      <w:r w:rsidR="000B7A78">
        <w:rPr>
          <w:rFonts w:ascii="Calibri" w:hAnsi="Calibri" w:cs="Times New Roman"/>
          <w:sz w:val="24"/>
          <w:szCs w:val="24"/>
        </w:rPr>
        <w:tab/>
      </w:r>
      <w:r w:rsidR="000B7A78">
        <w:rPr>
          <w:rFonts w:ascii="Calibri" w:hAnsi="Calibri" w:cs="Times New Roman"/>
          <w:sz w:val="24"/>
          <w:szCs w:val="24"/>
        </w:rPr>
        <w:tab/>
      </w:r>
      <w:r w:rsidR="007C4924">
        <w:rPr>
          <w:rFonts w:ascii="Calibri" w:hAnsi="Calibri" w:cs="Times New Roman"/>
          <w:sz w:val="24"/>
          <w:szCs w:val="24"/>
        </w:rPr>
        <w:t>-</w:t>
      </w:r>
      <w:r w:rsidR="000B7A78">
        <w:rPr>
          <w:rFonts w:ascii="Calibri" w:hAnsi="Calibri" w:cs="Times New Roman"/>
          <w:sz w:val="24"/>
          <w:szCs w:val="24"/>
        </w:rPr>
        <w:t xml:space="preserve"> </w:t>
      </w:r>
      <w:r w:rsidRPr="00103AC5">
        <w:rPr>
          <w:rFonts w:ascii="Calibri" w:hAnsi="Calibri" w:cs="Times New Roman"/>
          <w:sz w:val="24"/>
          <w:szCs w:val="24"/>
        </w:rPr>
        <w:t>n</w:t>
      </w:r>
      <w:r w:rsidR="002527AE" w:rsidRPr="00103AC5">
        <w:rPr>
          <w:rFonts w:ascii="Calibri" w:hAnsi="Calibri" w:cs="Times New Roman"/>
          <w:sz w:val="24"/>
          <w:szCs w:val="24"/>
        </w:rPr>
        <w:t>astavení srovnatelné jednotky u </w:t>
      </w:r>
      <w:r w:rsidRPr="00103AC5">
        <w:rPr>
          <w:rFonts w:ascii="Calibri" w:hAnsi="Calibri" w:cs="Times New Roman"/>
          <w:sz w:val="24"/>
          <w:szCs w:val="24"/>
        </w:rPr>
        <w:t>daného druhu sociální služby;</w:t>
      </w:r>
    </w:p>
    <w:p w14:paraId="23E7F931" w14:textId="47BDEC76" w:rsidR="00BA4B65" w:rsidRDefault="00BA4B65" w:rsidP="00613BEE">
      <w:pPr>
        <w:pStyle w:val="Bezmezer"/>
        <w:ind w:left="2557" w:hanging="2160"/>
        <w:jc w:val="both"/>
        <w:rPr>
          <w:rFonts w:ascii="Calibri" w:hAnsi="Calibri" w:cs="Times New Roman"/>
          <w:sz w:val="24"/>
          <w:szCs w:val="24"/>
        </w:rPr>
      </w:pPr>
      <w:r w:rsidRPr="00103AC5">
        <w:rPr>
          <w:rFonts w:ascii="Calibri" w:hAnsi="Calibri" w:cs="Times New Roman"/>
          <w:sz w:val="24"/>
          <w:szCs w:val="24"/>
        </w:rPr>
        <w:t xml:space="preserve">cenová hladina </w:t>
      </w:r>
      <w:r w:rsidR="000B7A78">
        <w:rPr>
          <w:rFonts w:ascii="Calibri" w:hAnsi="Calibri" w:cs="Times New Roman"/>
          <w:sz w:val="24"/>
          <w:szCs w:val="24"/>
        </w:rPr>
        <w:tab/>
      </w:r>
      <w:r w:rsidR="007C4924">
        <w:rPr>
          <w:rFonts w:ascii="Calibri" w:hAnsi="Calibri" w:cs="Times New Roman"/>
          <w:sz w:val="24"/>
          <w:szCs w:val="24"/>
        </w:rPr>
        <w:t>-</w:t>
      </w:r>
      <w:r w:rsidR="000B7A78">
        <w:rPr>
          <w:rFonts w:ascii="Calibri" w:hAnsi="Calibri" w:cs="Times New Roman"/>
          <w:sz w:val="24"/>
          <w:szCs w:val="24"/>
        </w:rPr>
        <w:t xml:space="preserve"> </w:t>
      </w:r>
      <w:r w:rsidRPr="00103AC5">
        <w:rPr>
          <w:rFonts w:ascii="Calibri" w:hAnsi="Calibri" w:cs="Times New Roman"/>
          <w:sz w:val="24"/>
          <w:szCs w:val="24"/>
        </w:rPr>
        <w:t>finanční prostředky z veřejných zdrojů určené na kapacitní jednotku za</w:t>
      </w:r>
      <w:r w:rsidR="000B7A78">
        <w:rPr>
          <w:rFonts w:ascii="Calibri" w:hAnsi="Calibri" w:cs="Times New Roman"/>
          <w:sz w:val="24"/>
          <w:szCs w:val="24"/>
        </w:rPr>
        <w:t xml:space="preserve"> </w:t>
      </w:r>
      <w:r w:rsidRPr="00103AC5">
        <w:rPr>
          <w:rFonts w:ascii="Calibri" w:hAnsi="Calibri" w:cs="Times New Roman"/>
          <w:sz w:val="24"/>
          <w:szCs w:val="24"/>
        </w:rPr>
        <w:t>rok.</w:t>
      </w:r>
      <w:r w:rsidR="00E469C1" w:rsidRPr="00103AC5">
        <w:rPr>
          <w:rFonts w:ascii="Calibri" w:hAnsi="Calibri" w:cs="Times New Roman"/>
          <w:sz w:val="24"/>
          <w:szCs w:val="24"/>
        </w:rPr>
        <w:t xml:space="preserve"> </w:t>
      </w:r>
    </w:p>
    <w:p w14:paraId="52C2CD82" w14:textId="77777777" w:rsidR="001760CE" w:rsidRDefault="001760CE" w:rsidP="00613BEE">
      <w:pPr>
        <w:pStyle w:val="Bezmezer"/>
        <w:ind w:left="397" w:hanging="397"/>
        <w:jc w:val="both"/>
        <w:rPr>
          <w:rFonts w:ascii="Calibri" w:hAnsi="Calibri"/>
          <w:sz w:val="24"/>
          <w:szCs w:val="24"/>
        </w:rPr>
      </w:pPr>
    </w:p>
    <w:p w14:paraId="5186FF84" w14:textId="199D7B59" w:rsidR="001760CE" w:rsidRDefault="001760CE" w:rsidP="00613BEE">
      <w:pPr>
        <w:pStyle w:val="Odstavecseseznamem"/>
        <w:numPr>
          <w:ilvl w:val="0"/>
          <w:numId w:val="45"/>
        </w:numPr>
        <w:spacing w:line="240" w:lineRule="auto"/>
        <w:ind w:left="397" w:hanging="397"/>
        <w:jc w:val="both"/>
        <w:rPr>
          <w:rFonts w:ascii="Calibri" w:eastAsia="Tahoma" w:hAnsi="Calibri" w:cs="TimesNewRoman"/>
          <w:sz w:val="24"/>
          <w:szCs w:val="24"/>
          <w:lang w:eastAsia="ar-SA"/>
        </w:rPr>
      </w:pPr>
      <w:r w:rsidRPr="001760CE">
        <w:rPr>
          <w:rFonts w:ascii="Calibri" w:eastAsia="Tahoma" w:hAnsi="Calibri" w:cs="TimesNewRoman"/>
          <w:sz w:val="24"/>
          <w:szCs w:val="24"/>
          <w:lang w:eastAsia="ar-SA"/>
        </w:rPr>
        <w:t xml:space="preserve">Maximální výše výpočtu veřejné podpory pro jednotlivé sociální služby dle Krajské sítě sociálních služeb v rámci Dotačního programu projektu jsou uvedeny v příloze </w:t>
      </w:r>
      <w:r>
        <w:rPr>
          <w:rFonts w:ascii="Calibri" w:eastAsia="Tahoma" w:hAnsi="Calibri" w:cs="TimesNewRoman"/>
          <w:sz w:val="24"/>
          <w:szCs w:val="24"/>
          <w:lang w:eastAsia="ar-SA"/>
        </w:rPr>
        <w:t>č. 1 Dotačního programu projektu.</w:t>
      </w:r>
    </w:p>
    <w:p w14:paraId="2FEE5670" w14:textId="77777777" w:rsidR="000B7A78" w:rsidRPr="001760CE" w:rsidRDefault="000B7A78" w:rsidP="00613BEE">
      <w:pPr>
        <w:pStyle w:val="Bezmezer"/>
      </w:pPr>
    </w:p>
    <w:p w14:paraId="70F93844" w14:textId="13E6EE5D" w:rsidR="00440E3F" w:rsidRPr="00103AC5" w:rsidRDefault="00440E3F" w:rsidP="00613BEE">
      <w:pPr>
        <w:pStyle w:val="Bezmezer"/>
        <w:jc w:val="center"/>
        <w:rPr>
          <w:rFonts w:ascii="Calibri" w:eastAsiaTheme="majorEastAsia" w:hAnsi="Calibri" w:cs="Times New Roman"/>
          <w:b/>
          <w:bCs/>
          <w:color w:val="365F91" w:themeColor="accent1" w:themeShade="BF"/>
          <w:sz w:val="24"/>
          <w:szCs w:val="24"/>
        </w:rPr>
      </w:pPr>
      <w:r w:rsidRPr="00103AC5">
        <w:rPr>
          <w:rFonts w:ascii="Calibri" w:eastAsiaTheme="majorEastAsia" w:hAnsi="Calibri" w:cs="Times New Roman"/>
          <w:b/>
          <w:bCs/>
          <w:color w:val="365F91" w:themeColor="accent1" w:themeShade="BF"/>
          <w:sz w:val="24"/>
          <w:szCs w:val="24"/>
        </w:rPr>
        <w:t xml:space="preserve">Část </w:t>
      </w:r>
      <w:r w:rsidR="007C69EB" w:rsidRPr="00103AC5">
        <w:rPr>
          <w:rFonts w:ascii="Calibri" w:eastAsiaTheme="majorEastAsia" w:hAnsi="Calibri" w:cs="Times New Roman"/>
          <w:b/>
          <w:bCs/>
          <w:color w:val="365F91" w:themeColor="accent1" w:themeShade="BF"/>
          <w:sz w:val="24"/>
          <w:szCs w:val="24"/>
        </w:rPr>
        <w:t>I</w:t>
      </w:r>
      <w:r w:rsidR="007C69EB">
        <w:rPr>
          <w:rFonts w:ascii="Calibri" w:eastAsiaTheme="majorEastAsia" w:hAnsi="Calibri" w:cs="Times New Roman"/>
          <w:b/>
          <w:bCs/>
          <w:color w:val="365F91" w:themeColor="accent1" w:themeShade="BF"/>
          <w:sz w:val="24"/>
          <w:szCs w:val="24"/>
        </w:rPr>
        <w:t>V</w:t>
      </w:r>
    </w:p>
    <w:p w14:paraId="23F08A1B" w14:textId="1D53343D" w:rsidR="00440E3F" w:rsidRPr="00103AC5" w:rsidRDefault="00440E3F" w:rsidP="000F0C05">
      <w:pPr>
        <w:keepNext/>
        <w:keepLines/>
        <w:spacing w:after="0" w:line="240" w:lineRule="auto"/>
        <w:ind w:left="714" w:hanging="357"/>
        <w:jc w:val="center"/>
        <w:outlineLvl w:val="0"/>
        <w:rPr>
          <w:rFonts w:ascii="Calibri" w:eastAsiaTheme="majorEastAsia" w:hAnsi="Calibri" w:cs="Times New Roman"/>
          <w:b/>
          <w:bCs/>
          <w:color w:val="365F91" w:themeColor="accent1" w:themeShade="BF"/>
          <w:sz w:val="24"/>
          <w:szCs w:val="24"/>
        </w:rPr>
      </w:pPr>
      <w:r w:rsidRPr="00103AC5">
        <w:rPr>
          <w:rFonts w:ascii="Calibri" w:eastAsiaTheme="majorEastAsia" w:hAnsi="Calibri" w:cs="Times New Roman"/>
          <w:b/>
          <w:bCs/>
          <w:color w:val="365F91" w:themeColor="accent1" w:themeShade="BF"/>
          <w:sz w:val="24"/>
          <w:szCs w:val="24"/>
        </w:rPr>
        <w:t>Účel</w:t>
      </w:r>
      <w:r w:rsidR="007C69EB">
        <w:rPr>
          <w:rFonts w:ascii="Calibri" w:eastAsiaTheme="majorEastAsia" w:hAnsi="Calibri" w:cs="Times New Roman"/>
          <w:b/>
          <w:bCs/>
          <w:color w:val="365F91" w:themeColor="accent1" w:themeShade="BF"/>
          <w:sz w:val="24"/>
          <w:szCs w:val="24"/>
        </w:rPr>
        <w:t>, na který mohou být prostředky poskytnuty</w:t>
      </w:r>
    </w:p>
    <w:p w14:paraId="5DEEFBF5" w14:textId="77777777" w:rsidR="00B133A8" w:rsidRPr="00103AC5" w:rsidRDefault="00B133A8" w:rsidP="00B133A8">
      <w:pPr>
        <w:spacing w:after="0" w:line="240" w:lineRule="auto"/>
        <w:jc w:val="both"/>
        <w:rPr>
          <w:rFonts w:ascii="Calibri" w:hAnsi="Calibri" w:cs="Times New Roman"/>
          <w:b/>
          <w:sz w:val="24"/>
          <w:szCs w:val="24"/>
        </w:rPr>
      </w:pPr>
    </w:p>
    <w:p w14:paraId="3444D127" w14:textId="77777777" w:rsidR="00B133A8" w:rsidRPr="00103AC5" w:rsidRDefault="00B133A8" w:rsidP="00B133A8">
      <w:pPr>
        <w:spacing w:before="120" w:after="0" w:line="240" w:lineRule="auto"/>
        <w:jc w:val="both"/>
        <w:rPr>
          <w:rFonts w:ascii="Calibri" w:hAnsi="Calibri" w:cs="Times New Roman"/>
          <w:sz w:val="24"/>
          <w:szCs w:val="24"/>
        </w:rPr>
      </w:pPr>
      <w:r w:rsidRPr="00103AC5">
        <w:rPr>
          <w:rFonts w:ascii="Calibri" w:hAnsi="Calibri" w:cs="Times New Roman"/>
          <w:sz w:val="24"/>
          <w:szCs w:val="24"/>
        </w:rPr>
        <w:t xml:space="preserve">Dotační program projektu je určen pro poskytovatele vybraných druhů sociálních služeb: </w:t>
      </w:r>
    </w:p>
    <w:p w14:paraId="4F189544" w14:textId="77777777" w:rsidR="00B133A8" w:rsidRPr="00103AC5" w:rsidRDefault="00B133A8" w:rsidP="00B133A8">
      <w:pPr>
        <w:pStyle w:val="Bezmezer"/>
      </w:pPr>
    </w:p>
    <w:tbl>
      <w:tblPr>
        <w:tblStyle w:val="Mkatabulky"/>
        <w:tblW w:w="0" w:type="auto"/>
        <w:tblLook w:val="04A0" w:firstRow="1" w:lastRow="0" w:firstColumn="1" w:lastColumn="0" w:noHBand="0" w:noVBand="1"/>
      </w:tblPr>
      <w:tblGrid>
        <w:gridCol w:w="9060"/>
      </w:tblGrid>
      <w:tr w:rsidR="00B133A8" w:rsidRPr="00103AC5" w14:paraId="4A4A19A8" w14:textId="77777777" w:rsidTr="00CF4E1C">
        <w:tc>
          <w:tcPr>
            <w:tcW w:w="9060" w:type="dxa"/>
            <w:vAlign w:val="center"/>
          </w:tcPr>
          <w:p w14:paraId="7D233235" w14:textId="77777777" w:rsidR="00B133A8" w:rsidRPr="00103AC5" w:rsidRDefault="00B133A8" w:rsidP="00CF4E1C">
            <w:pPr>
              <w:pStyle w:val="Bezmezer"/>
              <w:rPr>
                <w:rFonts w:ascii="Calibri" w:hAnsi="Calibri" w:cs="Times New Roman"/>
                <w:b/>
                <w:sz w:val="24"/>
                <w:szCs w:val="24"/>
              </w:rPr>
            </w:pPr>
            <w:r w:rsidRPr="00103AC5">
              <w:rPr>
                <w:rFonts w:ascii="Calibri" w:hAnsi="Calibri"/>
                <w:b/>
                <w:sz w:val="24"/>
                <w:szCs w:val="24"/>
              </w:rPr>
              <w:t>Vybrané sociální služby dle zákona o sociálních službách:</w:t>
            </w:r>
          </w:p>
        </w:tc>
      </w:tr>
    </w:tbl>
    <w:p w14:paraId="17C72C5B" w14:textId="77777777" w:rsidR="00B133A8" w:rsidRDefault="00B133A8" w:rsidP="00B133A8">
      <w:pPr>
        <w:pStyle w:val="Bezmezer"/>
      </w:pPr>
    </w:p>
    <w:p w14:paraId="29538F30" w14:textId="77777777" w:rsidR="000B7A78" w:rsidRPr="00103AC5" w:rsidRDefault="000B7A78" w:rsidP="00B133A8">
      <w:pPr>
        <w:pStyle w:val="Bezmezer"/>
      </w:pPr>
    </w:p>
    <w:p w14:paraId="4EFD6F3B" w14:textId="39871E2D" w:rsidR="00B133A8" w:rsidRPr="00103AC5" w:rsidRDefault="00B133A8" w:rsidP="00613BEE">
      <w:pPr>
        <w:numPr>
          <w:ilvl w:val="0"/>
          <w:numId w:val="22"/>
        </w:numPr>
        <w:spacing w:after="0" w:line="360" w:lineRule="auto"/>
        <w:ind w:left="397" w:hanging="397"/>
        <w:jc w:val="both"/>
        <w:rPr>
          <w:rFonts w:ascii="Calibri" w:hAnsi="Calibri" w:cs="Times New Roman"/>
          <w:b/>
          <w:sz w:val="24"/>
          <w:szCs w:val="24"/>
        </w:rPr>
      </w:pPr>
      <w:r w:rsidRPr="00103AC5">
        <w:rPr>
          <w:rFonts w:ascii="Calibri" w:hAnsi="Calibri" w:cs="Times New Roman"/>
          <w:sz w:val="24"/>
          <w:szCs w:val="24"/>
        </w:rPr>
        <w:t>§ 57</w:t>
      </w:r>
      <w:r w:rsidRPr="00103AC5">
        <w:rPr>
          <w:rFonts w:ascii="Calibri" w:hAnsi="Calibri" w:cs="Times New Roman"/>
          <w:sz w:val="24"/>
          <w:szCs w:val="24"/>
        </w:rPr>
        <w:tab/>
      </w:r>
      <w:r w:rsidR="000B7A78">
        <w:rPr>
          <w:rFonts w:ascii="Calibri" w:hAnsi="Calibri" w:cs="Times New Roman"/>
          <w:sz w:val="24"/>
          <w:szCs w:val="24"/>
        </w:rPr>
        <w:tab/>
      </w:r>
      <w:r w:rsidRPr="00103AC5">
        <w:rPr>
          <w:rFonts w:ascii="Calibri" w:hAnsi="Calibri" w:cs="Times New Roman"/>
          <w:b/>
          <w:sz w:val="24"/>
          <w:szCs w:val="24"/>
        </w:rPr>
        <w:t>azylové domy</w:t>
      </w:r>
    </w:p>
    <w:p w14:paraId="6BA111E8" w14:textId="0F9D7DE4" w:rsidR="00B133A8" w:rsidRPr="00103AC5" w:rsidRDefault="00B133A8" w:rsidP="00613BEE">
      <w:pPr>
        <w:numPr>
          <w:ilvl w:val="0"/>
          <w:numId w:val="22"/>
        </w:numPr>
        <w:spacing w:after="0" w:line="360" w:lineRule="auto"/>
        <w:ind w:left="397" w:hanging="397"/>
        <w:jc w:val="both"/>
        <w:rPr>
          <w:rFonts w:ascii="Calibri" w:hAnsi="Calibri" w:cs="Times New Roman"/>
          <w:sz w:val="24"/>
          <w:szCs w:val="24"/>
        </w:rPr>
      </w:pPr>
      <w:r w:rsidRPr="00103AC5">
        <w:rPr>
          <w:rFonts w:ascii="Calibri" w:hAnsi="Calibri" w:cs="Times New Roman"/>
          <w:sz w:val="24"/>
          <w:szCs w:val="24"/>
        </w:rPr>
        <w:t>§ 58</w:t>
      </w:r>
      <w:r w:rsidRPr="00103AC5">
        <w:rPr>
          <w:rFonts w:ascii="Calibri" w:hAnsi="Calibri" w:cs="Times New Roman"/>
          <w:sz w:val="24"/>
          <w:szCs w:val="24"/>
        </w:rPr>
        <w:tab/>
      </w:r>
      <w:r w:rsidR="000B7A78">
        <w:rPr>
          <w:rFonts w:ascii="Calibri" w:hAnsi="Calibri" w:cs="Times New Roman"/>
          <w:sz w:val="24"/>
          <w:szCs w:val="24"/>
        </w:rPr>
        <w:tab/>
      </w:r>
      <w:r w:rsidRPr="00103AC5">
        <w:rPr>
          <w:rFonts w:ascii="Calibri" w:hAnsi="Calibri" w:cs="Times New Roman"/>
          <w:b/>
          <w:sz w:val="24"/>
          <w:szCs w:val="24"/>
        </w:rPr>
        <w:t>domy na půl cesty</w:t>
      </w:r>
    </w:p>
    <w:p w14:paraId="1D38EB91" w14:textId="77777777" w:rsidR="00B133A8" w:rsidRPr="00103AC5" w:rsidRDefault="00B133A8" w:rsidP="00B133A8">
      <w:pPr>
        <w:pStyle w:val="Bezmezer"/>
        <w:jc w:val="both"/>
        <w:rPr>
          <w:rFonts w:ascii="Calibri" w:hAnsi="Calibri"/>
          <w:sz w:val="24"/>
          <w:szCs w:val="24"/>
        </w:rPr>
      </w:pPr>
    </w:p>
    <w:p w14:paraId="2BB1DDF0" w14:textId="77777777" w:rsidR="00CB2C1D" w:rsidRDefault="00CB2C1D" w:rsidP="00B133A8">
      <w:pPr>
        <w:pStyle w:val="Bezmezer"/>
        <w:jc w:val="both"/>
        <w:rPr>
          <w:rFonts w:ascii="Calibri" w:hAnsi="Calibri"/>
          <w:sz w:val="24"/>
          <w:szCs w:val="24"/>
        </w:rPr>
      </w:pPr>
    </w:p>
    <w:p w14:paraId="3D388709" w14:textId="77777777" w:rsidR="00A75C74" w:rsidRPr="00103AC5" w:rsidRDefault="00A75C74" w:rsidP="00B133A8">
      <w:pPr>
        <w:pStyle w:val="Bezmezer"/>
        <w:jc w:val="both"/>
        <w:rPr>
          <w:rFonts w:ascii="Calibri" w:hAnsi="Calibri"/>
          <w:sz w:val="24"/>
          <w:szCs w:val="24"/>
        </w:rPr>
      </w:pPr>
    </w:p>
    <w:p w14:paraId="619C05DE" w14:textId="77777777" w:rsidR="00480FA4" w:rsidRDefault="00CB2C1D" w:rsidP="00613BEE">
      <w:pPr>
        <w:pStyle w:val="Bezmezer"/>
        <w:numPr>
          <w:ilvl w:val="0"/>
          <w:numId w:val="44"/>
        </w:numPr>
        <w:ind w:left="397" w:hanging="397"/>
        <w:jc w:val="both"/>
        <w:rPr>
          <w:rFonts w:ascii="Calibri" w:eastAsia="Times New Roman" w:hAnsi="Calibri"/>
          <w:sz w:val="24"/>
          <w:szCs w:val="24"/>
          <w:lang w:eastAsia="cs-CZ"/>
        </w:rPr>
      </w:pPr>
      <w:r w:rsidRPr="00480FA4">
        <w:rPr>
          <w:rFonts w:ascii="Calibri" w:hAnsi="Calibri"/>
          <w:sz w:val="24"/>
          <w:szCs w:val="24"/>
        </w:rPr>
        <w:lastRenderedPageBreak/>
        <w:t xml:space="preserve">Dotace se poskytuje za účelem financování běžných výdajů, které souvisejí s poskytováním </w:t>
      </w:r>
      <w:r w:rsidRPr="00480FA4">
        <w:rPr>
          <w:rFonts w:ascii="Calibri" w:eastAsia="Times New Roman" w:hAnsi="Calibri"/>
          <w:sz w:val="24"/>
          <w:szCs w:val="24"/>
          <w:lang w:eastAsia="cs-CZ"/>
        </w:rPr>
        <w:t xml:space="preserve">základních druhů a forem </w:t>
      </w:r>
      <w:r w:rsidRPr="00480FA4">
        <w:rPr>
          <w:rFonts w:ascii="Calibri" w:hAnsi="Calibri"/>
          <w:sz w:val="24"/>
          <w:szCs w:val="24"/>
        </w:rPr>
        <w:t>sociálních služeb</w:t>
      </w:r>
      <w:r w:rsidR="00907E46" w:rsidRPr="00480FA4">
        <w:rPr>
          <w:rFonts w:ascii="Calibri" w:hAnsi="Calibri"/>
          <w:sz w:val="24"/>
          <w:szCs w:val="24"/>
        </w:rPr>
        <w:t>,</w:t>
      </w:r>
      <w:r w:rsidRPr="00480FA4">
        <w:rPr>
          <w:rFonts w:ascii="Calibri" w:hAnsi="Calibri"/>
          <w:sz w:val="24"/>
          <w:szCs w:val="24"/>
        </w:rPr>
        <w:t xml:space="preserve"> </w:t>
      </w:r>
      <w:r w:rsidR="00907E46" w:rsidRPr="00480FA4">
        <w:rPr>
          <w:rFonts w:ascii="Calibri" w:hAnsi="Calibri"/>
          <w:sz w:val="24"/>
          <w:szCs w:val="24"/>
        </w:rPr>
        <w:t xml:space="preserve">v rozsahu stanoveném základními činnostmi u jednotlivých druhů vybraných sociálních služeb </w:t>
      </w:r>
      <w:r w:rsidRPr="00480FA4">
        <w:rPr>
          <w:rFonts w:ascii="Calibri" w:hAnsi="Calibri"/>
          <w:sz w:val="24"/>
          <w:szCs w:val="24"/>
        </w:rPr>
        <w:t>dle zákona o sociálních službách.</w:t>
      </w:r>
      <w:r w:rsidRPr="00480FA4">
        <w:rPr>
          <w:rFonts w:ascii="Calibri" w:eastAsia="Times New Roman" w:hAnsi="Calibri"/>
          <w:sz w:val="24"/>
          <w:szCs w:val="24"/>
          <w:lang w:eastAsia="cs-CZ"/>
        </w:rPr>
        <w:t xml:space="preserve"> </w:t>
      </w:r>
    </w:p>
    <w:p w14:paraId="66D7E2C8" w14:textId="77777777" w:rsidR="00480FA4" w:rsidRDefault="00480FA4" w:rsidP="00613BEE">
      <w:pPr>
        <w:pStyle w:val="Bezmezer"/>
        <w:ind w:left="397" w:hanging="397"/>
        <w:jc w:val="both"/>
        <w:rPr>
          <w:rFonts w:ascii="Calibri" w:eastAsia="Times New Roman" w:hAnsi="Calibri"/>
          <w:sz w:val="24"/>
          <w:szCs w:val="24"/>
          <w:lang w:eastAsia="cs-CZ"/>
        </w:rPr>
      </w:pPr>
    </w:p>
    <w:p w14:paraId="3802B886" w14:textId="37C03F70" w:rsidR="00792A54" w:rsidRPr="00787B55" w:rsidRDefault="00CB2C1D" w:rsidP="00613BEE">
      <w:pPr>
        <w:pStyle w:val="Bezmezer"/>
        <w:numPr>
          <w:ilvl w:val="0"/>
          <w:numId w:val="44"/>
        </w:numPr>
        <w:ind w:left="397" w:hanging="397"/>
        <w:jc w:val="both"/>
        <w:rPr>
          <w:rFonts w:ascii="Calibri" w:eastAsia="Times New Roman" w:hAnsi="Calibri" w:cs="Calibri"/>
          <w:sz w:val="24"/>
          <w:szCs w:val="24"/>
          <w:lang w:eastAsia="cs-CZ"/>
        </w:rPr>
      </w:pPr>
      <w:r w:rsidRPr="00480FA4">
        <w:rPr>
          <w:rFonts w:ascii="Calibri" w:eastAsia="Times New Roman" w:hAnsi="Calibri"/>
          <w:sz w:val="24"/>
          <w:szCs w:val="24"/>
          <w:lang w:eastAsia="cs-CZ"/>
        </w:rPr>
        <w:t xml:space="preserve">Dotace jsou určené na období 2019 - 2021 a musí být využity </w:t>
      </w:r>
      <w:r w:rsidRPr="00787B55">
        <w:rPr>
          <w:rFonts w:ascii="Calibri" w:eastAsia="Times New Roman" w:hAnsi="Calibri" w:cs="Calibri"/>
          <w:sz w:val="24"/>
          <w:szCs w:val="24"/>
          <w:lang w:eastAsia="cs-CZ"/>
        </w:rPr>
        <w:t>v souladu s  podmínkami uvedený</w:t>
      </w:r>
      <w:r w:rsidR="00907E46" w:rsidRPr="00787B55">
        <w:rPr>
          <w:rFonts w:ascii="Calibri" w:eastAsia="Times New Roman" w:hAnsi="Calibri" w:cs="Calibri"/>
          <w:sz w:val="24"/>
          <w:szCs w:val="24"/>
          <w:lang w:eastAsia="cs-CZ"/>
        </w:rPr>
        <w:t>mi</w:t>
      </w:r>
      <w:r w:rsidRPr="00787B55">
        <w:rPr>
          <w:rFonts w:ascii="Calibri" w:eastAsia="Times New Roman" w:hAnsi="Calibri" w:cs="Calibri"/>
          <w:sz w:val="24"/>
          <w:szCs w:val="24"/>
          <w:lang w:eastAsia="cs-CZ"/>
        </w:rPr>
        <w:t xml:space="preserve"> v Obecné části pravidel pro žadatele a příjemce v rámci OPZ, dostupných na webových stránkách </w:t>
      </w:r>
      <w:hyperlink r:id="rId11" w:history="1">
        <w:r w:rsidRPr="00787B55">
          <w:rPr>
            <w:rStyle w:val="Hypertextovodkaz"/>
            <w:rFonts w:ascii="Calibri" w:eastAsia="Times New Roman" w:hAnsi="Calibri" w:cs="Calibri"/>
            <w:bCs/>
            <w:sz w:val="24"/>
            <w:szCs w:val="24"/>
            <w:lang w:eastAsia="cs-CZ"/>
          </w:rPr>
          <w:t>www.esfcr.cz</w:t>
        </w:r>
      </w:hyperlink>
      <w:r w:rsidRPr="00787B55">
        <w:rPr>
          <w:rFonts w:ascii="Calibri" w:eastAsia="Times New Roman" w:hAnsi="Calibri" w:cs="Calibri"/>
          <w:sz w:val="24"/>
          <w:szCs w:val="24"/>
          <w:lang w:eastAsia="cs-CZ"/>
        </w:rPr>
        <w:t xml:space="preserve"> (dále jen </w:t>
      </w:r>
      <w:r w:rsidRPr="00C809A8">
        <w:rPr>
          <w:rFonts w:ascii="Calibri" w:eastAsia="Times New Roman" w:hAnsi="Calibri" w:cs="Calibri"/>
          <w:b/>
          <w:sz w:val="24"/>
          <w:szCs w:val="24"/>
          <w:lang w:eastAsia="cs-CZ"/>
        </w:rPr>
        <w:t>„Pravidla OPZ“</w:t>
      </w:r>
      <w:r w:rsidRPr="00787B55">
        <w:rPr>
          <w:rFonts w:ascii="Calibri" w:eastAsia="Times New Roman" w:hAnsi="Calibri" w:cs="Calibri"/>
          <w:sz w:val="24"/>
          <w:szCs w:val="24"/>
          <w:lang w:eastAsia="cs-CZ"/>
        </w:rPr>
        <w:t xml:space="preserve">), </w:t>
      </w:r>
      <w:r w:rsidRPr="00787B55">
        <w:rPr>
          <w:rFonts w:ascii="Calibri" w:hAnsi="Calibri" w:cs="Calibri"/>
          <w:sz w:val="24"/>
          <w:szCs w:val="24"/>
        </w:rPr>
        <w:t>a</w:t>
      </w:r>
      <w:r w:rsidR="00792A54" w:rsidRPr="00787B55">
        <w:rPr>
          <w:rFonts w:ascii="Calibri" w:hAnsi="Calibri" w:cs="Calibri"/>
          <w:sz w:val="24"/>
          <w:szCs w:val="24"/>
        </w:rPr>
        <w:t xml:space="preserve"> veřejnoprávní smlouv</w:t>
      </w:r>
      <w:r w:rsidR="00787B55">
        <w:rPr>
          <w:rFonts w:ascii="Calibri" w:hAnsi="Calibri" w:cs="Calibri"/>
          <w:sz w:val="24"/>
          <w:szCs w:val="24"/>
        </w:rPr>
        <w:t>o</w:t>
      </w:r>
      <w:r w:rsidR="00792A54" w:rsidRPr="00787B55">
        <w:rPr>
          <w:rFonts w:ascii="Calibri" w:hAnsi="Calibri" w:cs="Calibri"/>
          <w:sz w:val="24"/>
          <w:szCs w:val="24"/>
        </w:rPr>
        <w:t>u o poskytnutí dotace</w:t>
      </w:r>
      <w:r w:rsidR="00B57276">
        <w:rPr>
          <w:rFonts w:ascii="Calibri" w:hAnsi="Calibri" w:cs="Calibri"/>
          <w:sz w:val="24"/>
          <w:szCs w:val="24"/>
        </w:rPr>
        <w:t>.</w:t>
      </w:r>
      <w:r w:rsidRPr="00787B55">
        <w:rPr>
          <w:rFonts w:ascii="Calibri" w:hAnsi="Calibri" w:cs="Calibri"/>
          <w:sz w:val="24"/>
          <w:szCs w:val="24"/>
        </w:rPr>
        <w:t xml:space="preserve"> </w:t>
      </w:r>
    </w:p>
    <w:p w14:paraId="1D4BCF28" w14:textId="77777777" w:rsidR="00792A54" w:rsidRDefault="00792A54" w:rsidP="00613BEE">
      <w:pPr>
        <w:pStyle w:val="Bezmezer"/>
        <w:ind w:left="397" w:hanging="397"/>
        <w:jc w:val="both"/>
        <w:rPr>
          <w:rFonts w:ascii="Calibri" w:eastAsia="Times New Roman" w:hAnsi="Calibri"/>
          <w:sz w:val="24"/>
          <w:szCs w:val="24"/>
          <w:lang w:eastAsia="cs-CZ"/>
        </w:rPr>
      </w:pPr>
    </w:p>
    <w:p w14:paraId="424AE3A8" w14:textId="5B6DC5D8" w:rsidR="006C6B1C" w:rsidRDefault="006C6B1C" w:rsidP="00613BEE">
      <w:pPr>
        <w:pStyle w:val="Bezmezer"/>
        <w:numPr>
          <w:ilvl w:val="0"/>
          <w:numId w:val="44"/>
        </w:numPr>
        <w:ind w:left="397" w:hanging="397"/>
        <w:jc w:val="both"/>
        <w:rPr>
          <w:rFonts w:ascii="Calibri" w:eastAsia="Times New Roman" w:hAnsi="Calibri"/>
          <w:sz w:val="24"/>
          <w:szCs w:val="24"/>
          <w:lang w:eastAsia="cs-CZ"/>
        </w:rPr>
      </w:pPr>
      <w:r w:rsidRPr="00792A54">
        <w:rPr>
          <w:rFonts w:ascii="Calibri" w:eastAsia="Times New Roman" w:hAnsi="Calibri"/>
          <w:sz w:val="24"/>
          <w:szCs w:val="24"/>
          <w:lang w:eastAsia="cs-CZ"/>
        </w:rPr>
        <w:t>Dotaci lze čerpat na úhrady nákladů (výdajů) vzniklých od prvního dne poskytování služby do posledního dne jejího ukončení, nejdéle však na úhradu nákladů (výdajů) vzniklých od 1. 1. 2019 do 31. 12. 2021 včetně a uhrazených od 1. 1. 2019 do 28. 2. 2022 včetně.</w:t>
      </w:r>
    </w:p>
    <w:p w14:paraId="5AF6D804" w14:textId="77777777" w:rsidR="00792A54" w:rsidRPr="00792A54" w:rsidRDefault="00792A54" w:rsidP="00613BEE">
      <w:pPr>
        <w:pStyle w:val="Bezmezer"/>
        <w:ind w:left="397" w:hanging="397"/>
        <w:jc w:val="both"/>
        <w:rPr>
          <w:rFonts w:ascii="Calibri" w:eastAsia="Times New Roman" w:hAnsi="Calibri"/>
          <w:sz w:val="24"/>
          <w:szCs w:val="24"/>
          <w:lang w:eastAsia="cs-CZ"/>
        </w:rPr>
      </w:pPr>
    </w:p>
    <w:p w14:paraId="116F8FA6" w14:textId="77777777" w:rsidR="00CD090F" w:rsidRPr="00792A54" w:rsidRDefault="00CD090F" w:rsidP="00613BEE">
      <w:pPr>
        <w:pStyle w:val="Bezmezer"/>
        <w:numPr>
          <w:ilvl w:val="0"/>
          <w:numId w:val="44"/>
        </w:numPr>
        <w:ind w:left="397" w:hanging="397"/>
        <w:jc w:val="both"/>
        <w:rPr>
          <w:rFonts w:ascii="Calibri" w:eastAsia="Times New Roman" w:hAnsi="Calibri"/>
          <w:sz w:val="24"/>
          <w:szCs w:val="24"/>
          <w:lang w:eastAsia="cs-CZ"/>
        </w:rPr>
      </w:pPr>
      <w:r w:rsidRPr="00792A54">
        <w:rPr>
          <w:rFonts w:ascii="Calibri" w:hAnsi="Calibri"/>
          <w:sz w:val="24"/>
          <w:szCs w:val="24"/>
        </w:rPr>
        <w:t xml:space="preserve">Z Dotace </w:t>
      </w:r>
      <w:r w:rsidRPr="00792A54">
        <w:rPr>
          <w:rFonts w:ascii="Calibri" w:hAnsi="Calibri"/>
          <w:b/>
          <w:sz w:val="24"/>
          <w:szCs w:val="24"/>
          <w:u w:val="single"/>
        </w:rPr>
        <w:t>nelze hradit</w:t>
      </w:r>
      <w:r w:rsidRPr="00792A54">
        <w:rPr>
          <w:rFonts w:ascii="Calibri" w:hAnsi="Calibri"/>
          <w:sz w:val="24"/>
          <w:szCs w:val="24"/>
        </w:rPr>
        <w:t xml:space="preserve"> náklady (výdaje) tzv. </w:t>
      </w:r>
      <w:r w:rsidRPr="00792A54">
        <w:rPr>
          <w:rFonts w:ascii="Calibri" w:hAnsi="Calibri"/>
          <w:b/>
          <w:sz w:val="24"/>
          <w:szCs w:val="24"/>
          <w:u w:val="single"/>
        </w:rPr>
        <w:t>neuznatelné náklady</w:t>
      </w:r>
      <w:r w:rsidRPr="00792A54">
        <w:rPr>
          <w:rFonts w:ascii="Calibri" w:hAnsi="Calibri"/>
          <w:sz w:val="24"/>
          <w:szCs w:val="24"/>
        </w:rPr>
        <w:t xml:space="preserve">: </w:t>
      </w:r>
    </w:p>
    <w:p w14:paraId="7FE68474" w14:textId="77777777" w:rsidR="00CD090F" w:rsidRPr="00103AC5" w:rsidRDefault="00CD090F" w:rsidP="00613BEE">
      <w:pPr>
        <w:pStyle w:val="Bezmezer"/>
        <w:numPr>
          <w:ilvl w:val="0"/>
          <w:numId w:val="29"/>
        </w:numPr>
        <w:ind w:left="794" w:hanging="397"/>
        <w:jc w:val="both"/>
        <w:rPr>
          <w:rFonts w:ascii="Calibri" w:hAnsi="Calibri"/>
          <w:sz w:val="24"/>
          <w:szCs w:val="24"/>
        </w:rPr>
      </w:pPr>
      <w:r w:rsidRPr="00103AC5">
        <w:rPr>
          <w:rFonts w:ascii="Calibri" w:hAnsi="Calibri"/>
          <w:sz w:val="24"/>
          <w:szCs w:val="24"/>
        </w:rPr>
        <w:t>výdaje nesouvisející s poskytováním základních činností u jednotlivých druhů sociálních služeb (za výdaj nesouvisející s poskytováním základních činností se považuje i vzdělávání nad rámec § 111 a § 116 zákona o sociálních službách, a to v rozsahu nad 24 hodin za kalendářní rok)</w:t>
      </w:r>
    </w:p>
    <w:p w14:paraId="49745C56" w14:textId="77777777" w:rsidR="00CD090F" w:rsidRPr="00103AC5" w:rsidRDefault="00CD090F" w:rsidP="00613BEE">
      <w:pPr>
        <w:pStyle w:val="Bezmezer"/>
        <w:numPr>
          <w:ilvl w:val="0"/>
          <w:numId w:val="29"/>
        </w:numPr>
        <w:ind w:left="794" w:hanging="397"/>
        <w:jc w:val="both"/>
        <w:rPr>
          <w:rFonts w:ascii="Calibri" w:hAnsi="Calibri"/>
          <w:sz w:val="24"/>
          <w:szCs w:val="24"/>
        </w:rPr>
      </w:pPr>
      <w:r w:rsidRPr="00103AC5">
        <w:rPr>
          <w:rFonts w:ascii="Calibri" w:hAnsi="Calibri"/>
          <w:sz w:val="24"/>
          <w:szCs w:val="24"/>
        </w:rPr>
        <w:t>výdaje na zdravotní péči poskytovanou podle § 36 zákona o sociálních službách,</w:t>
      </w:r>
    </w:p>
    <w:p w14:paraId="1007355F" w14:textId="77777777" w:rsidR="00CD090F" w:rsidRPr="00103AC5" w:rsidRDefault="00CD090F" w:rsidP="00613BEE">
      <w:pPr>
        <w:pStyle w:val="Bezmezer"/>
        <w:numPr>
          <w:ilvl w:val="0"/>
          <w:numId w:val="29"/>
        </w:numPr>
        <w:ind w:left="794" w:hanging="397"/>
        <w:jc w:val="both"/>
        <w:rPr>
          <w:rFonts w:ascii="Calibri" w:hAnsi="Calibri"/>
          <w:sz w:val="24"/>
          <w:szCs w:val="24"/>
        </w:rPr>
      </w:pPr>
      <w:r w:rsidRPr="00103AC5">
        <w:rPr>
          <w:rFonts w:ascii="Calibri" w:hAnsi="Calibri"/>
          <w:sz w:val="24"/>
          <w:szCs w:val="24"/>
        </w:rPr>
        <w:t>výdaje na pořízení nebo technické zhodnocení dlouhodobého hmotného a  nehmotného majetku; dlouhodobým hmotným majetkem se rozumí majetek, jehož doba použitelnosti je delší než jeden rok a vstupní cena vyšší než 40 000 Kč, dlouhodobým nehmotným majetkem se rozumí majetek, jehož doba použitelnosti je delší než jeden rok a vstupní cena vyšší než 60 000 Kč,</w:t>
      </w:r>
    </w:p>
    <w:p w14:paraId="7F974716" w14:textId="77777777" w:rsidR="00CD090F" w:rsidRPr="00103AC5" w:rsidRDefault="00CD090F" w:rsidP="00613BEE">
      <w:pPr>
        <w:pStyle w:val="Bezmezer"/>
        <w:numPr>
          <w:ilvl w:val="0"/>
          <w:numId w:val="29"/>
        </w:numPr>
        <w:ind w:left="794" w:hanging="397"/>
        <w:jc w:val="both"/>
        <w:rPr>
          <w:rFonts w:ascii="Calibri" w:hAnsi="Calibri"/>
          <w:sz w:val="24"/>
          <w:szCs w:val="24"/>
        </w:rPr>
      </w:pPr>
      <w:r w:rsidRPr="00103AC5">
        <w:rPr>
          <w:rFonts w:ascii="Calibri" w:hAnsi="Calibri"/>
          <w:sz w:val="24"/>
          <w:szCs w:val="24"/>
        </w:rPr>
        <w:t>odpisy dlouhodobého hmotného a nehmotného majetku, rezervy, náklady příštích období a opravné položky provozních nákladů,</w:t>
      </w:r>
    </w:p>
    <w:p w14:paraId="698F256E" w14:textId="77777777" w:rsidR="00CD090F" w:rsidRPr="00103AC5" w:rsidRDefault="00CD090F" w:rsidP="00613BEE">
      <w:pPr>
        <w:pStyle w:val="Bezmezer"/>
        <w:numPr>
          <w:ilvl w:val="0"/>
          <w:numId w:val="29"/>
        </w:numPr>
        <w:ind w:left="794" w:hanging="397"/>
        <w:jc w:val="both"/>
        <w:rPr>
          <w:rFonts w:ascii="Calibri" w:hAnsi="Calibri"/>
          <w:sz w:val="24"/>
          <w:szCs w:val="24"/>
        </w:rPr>
      </w:pPr>
      <w:r w:rsidRPr="00103AC5">
        <w:rPr>
          <w:rFonts w:ascii="Calibri" w:hAnsi="Calibri"/>
          <w:sz w:val="24"/>
          <w:szCs w:val="24"/>
        </w:rPr>
        <w:t xml:space="preserve">plnění sociálního charakteru poskytovaná zaměstnancům v případech, kdy na tato plnění nevzniká nárok podle právních předpisů, například příspěvky na penzijní připojištění se státním příspěvkem, doplňkové penzijní spoření a životní pojištění, dary k životním jubileím a pracovním výročím, příspěvky na rekreaci, </w:t>
      </w:r>
    </w:p>
    <w:p w14:paraId="339BD257" w14:textId="77777777" w:rsidR="00CD090F" w:rsidRPr="00103AC5" w:rsidRDefault="00CD090F" w:rsidP="00613BEE">
      <w:pPr>
        <w:pStyle w:val="Bezmezer"/>
        <w:numPr>
          <w:ilvl w:val="0"/>
          <w:numId w:val="29"/>
        </w:numPr>
        <w:ind w:left="794" w:hanging="397"/>
        <w:jc w:val="both"/>
        <w:rPr>
          <w:rFonts w:ascii="Calibri" w:hAnsi="Calibri"/>
          <w:sz w:val="24"/>
          <w:szCs w:val="24"/>
        </w:rPr>
      </w:pPr>
      <w:r w:rsidRPr="00103AC5">
        <w:rPr>
          <w:rFonts w:ascii="Calibri" w:hAnsi="Calibri"/>
          <w:sz w:val="24"/>
          <w:szCs w:val="24"/>
        </w:rPr>
        <w:t>výdaje na finanční leasing, s výjimkou finančního leasingu motorového vozidla využívaného v rámci poskytování sociální služby,</w:t>
      </w:r>
    </w:p>
    <w:p w14:paraId="7BE1243A" w14:textId="77777777" w:rsidR="00CD090F" w:rsidRPr="00103AC5" w:rsidRDefault="00CD090F" w:rsidP="00613BEE">
      <w:pPr>
        <w:pStyle w:val="Bezmezer"/>
        <w:numPr>
          <w:ilvl w:val="0"/>
          <w:numId w:val="29"/>
        </w:numPr>
        <w:ind w:left="794" w:hanging="397"/>
        <w:jc w:val="both"/>
        <w:rPr>
          <w:rFonts w:ascii="Calibri" w:hAnsi="Calibri"/>
          <w:sz w:val="24"/>
          <w:szCs w:val="24"/>
        </w:rPr>
      </w:pPr>
      <w:r w:rsidRPr="00103AC5">
        <w:rPr>
          <w:rFonts w:ascii="Calibri" w:hAnsi="Calibri"/>
          <w:sz w:val="24"/>
          <w:szCs w:val="24"/>
        </w:rPr>
        <w:t>daně a poplatky nesouvisející s poskytováním základních činností u  jednotlivých druhů sociálních služeb,</w:t>
      </w:r>
    </w:p>
    <w:p w14:paraId="0737AFFF" w14:textId="77777777" w:rsidR="00CD090F" w:rsidRPr="00103AC5" w:rsidRDefault="00CD090F" w:rsidP="00613BEE">
      <w:pPr>
        <w:pStyle w:val="Bezmezer"/>
        <w:numPr>
          <w:ilvl w:val="0"/>
          <w:numId w:val="29"/>
        </w:numPr>
        <w:ind w:left="794" w:hanging="397"/>
        <w:jc w:val="both"/>
        <w:rPr>
          <w:rFonts w:ascii="Calibri" w:hAnsi="Calibri"/>
          <w:sz w:val="24"/>
          <w:szCs w:val="24"/>
        </w:rPr>
      </w:pPr>
      <w:r w:rsidRPr="00103AC5">
        <w:rPr>
          <w:rFonts w:ascii="Calibri" w:hAnsi="Calibri"/>
          <w:sz w:val="24"/>
          <w:szCs w:val="24"/>
        </w:rPr>
        <w:t>daň z přidané hodnoty, o jejíž vrácení lze podle jiného právního předpisu požádat,</w:t>
      </w:r>
    </w:p>
    <w:p w14:paraId="7E6784E7" w14:textId="5C255676" w:rsidR="00CD090F" w:rsidRPr="00103AC5" w:rsidRDefault="00CD090F" w:rsidP="00613BEE">
      <w:pPr>
        <w:pStyle w:val="Bezmezer"/>
        <w:numPr>
          <w:ilvl w:val="0"/>
          <w:numId w:val="29"/>
        </w:numPr>
        <w:ind w:left="794" w:hanging="397"/>
        <w:jc w:val="both"/>
        <w:rPr>
          <w:rFonts w:ascii="Calibri" w:hAnsi="Calibri"/>
          <w:sz w:val="24"/>
          <w:szCs w:val="24"/>
        </w:rPr>
      </w:pPr>
      <w:r w:rsidRPr="00103AC5">
        <w:rPr>
          <w:rFonts w:ascii="Calibri" w:hAnsi="Calibri"/>
          <w:sz w:val="24"/>
          <w:szCs w:val="24"/>
        </w:rPr>
        <w:t>smluvní pokuty, úroky z prodlení, ostatní pokuty a penále, odpisy nedobytných pohledávek, úroky, kursové ztráty, dary, manka a škody, tvorbu fondů, úbytek cenných papírů a podílů v případě jejich prodeje, úroky z prodlení podle smlouvy o</w:t>
      </w:r>
      <w:r w:rsidR="000B7A78">
        <w:rPr>
          <w:rFonts w:ascii="Calibri" w:hAnsi="Calibri"/>
          <w:sz w:val="24"/>
          <w:szCs w:val="24"/>
        </w:rPr>
        <w:t> </w:t>
      </w:r>
      <w:r w:rsidRPr="00103AC5">
        <w:rPr>
          <w:rFonts w:ascii="Calibri" w:hAnsi="Calibri"/>
          <w:sz w:val="24"/>
          <w:szCs w:val="24"/>
        </w:rPr>
        <w:t>úvěru, výdaje spojené se získáním bankovních záruk a obdobné bankovní výlohy, jakož i depozitní poplatky,</w:t>
      </w:r>
    </w:p>
    <w:p w14:paraId="646285C1" w14:textId="77777777" w:rsidR="00CD090F" w:rsidRPr="00103AC5" w:rsidRDefault="00CD090F" w:rsidP="00613BEE">
      <w:pPr>
        <w:pStyle w:val="Bezmezer"/>
        <w:numPr>
          <w:ilvl w:val="0"/>
          <w:numId w:val="29"/>
        </w:numPr>
        <w:ind w:left="794" w:hanging="397"/>
        <w:jc w:val="both"/>
        <w:rPr>
          <w:rFonts w:ascii="Calibri" w:hAnsi="Calibri"/>
          <w:sz w:val="24"/>
          <w:szCs w:val="24"/>
        </w:rPr>
      </w:pPr>
      <w:r w:rsidRPr="00103AC5">
        <w:rPr>
          <w:rFonts w:ascii="Calibri" w:hAnsi="Calibri"/>
          <w:sz w:val="24"/>
          <w:szCs w:val="24"/>
        </w:rPr>
        <w:t xml:space="preserve">výdaje, které nelze účetně doložit. </w:t>
      </w:r>
    </w:p>
    <w:p w14:paraId="32B2366C" w14:textId="77777777" w:rsidR="00CD090F" w:rsidRDefault="00CD090F">
      <w:pPr>
        <w:pStyle w:val="Bezmezer"/>
        <w:jc w:val="both"/>
        <w:rPr>
          <w:rFonts w:ascii="Calibri" w:hAnsi="Calibri"/>
          <w:sz w:val="24"/>
          <w:szCs w:val="24"/>
        </w:rPr>
      </w:pPr>
      <w:r w:rsidRPr="00CD090F">
        <w:rPr>
          <w:rFonts w:ascii="Calibri" w:hAnsi="Calibri"/>
          <w:sz w:val="24"/>
          <w:szCs w:val="24"/>
        </w:rPr>
        <w:t>V případě nejasnosti, zda se jedná o neuznatelný náklad, dává závazné st</w:t>
      </w:r>
      <w:r w:rsidR="006C6B1C">
        <w:rPr>
          <w:rFonts w:ascii="Calibri" w:hAnsi="Calibri"/>
          <w:sz w:val="24"/>
          <w:szCs w:val="24"/>
        </w:rPr>
        <w:t>anovisko</w:t>
      </w:r>
      <w:r>
        <w:rPr>
          <w:rFonts w:ascii="Calibri" w:hAnsi="Calibri"/>
          <w:sz w:val="24"/>
          <w:szCs w:val="24"/>
        </w:rPr>
        <w:t xml:space="preserve"> Odbor MHMP</w:t>
      </w:r>
      <w:r w:rsidR="006C6B1C">
        <w:rPr>
          <w:rFonts w:ascii="Calibri" w:hAnsi="Calibri"/>
          <w:sz w:val="24"/>
          <w:szCs w:val="24"/>
        </w:rPr>
        <w:t>, proti tomuto stanovisku není možný opravný prostředek.</w:t>
      </w:r>
    </w:p>
    <w:p w14:paraId="4A9B1ED5" w14:textId="77777777" w:rsidR="000B7A78" w:rsidRDefault="000B7A78">
      <w:pPr>
        <w:pStyle w:val="Bezmezer"/>
        <w:jc w:val="both"/>
        <w:rPr>
          <w:rFonts w:ascii="Calibri" w:eastAsia="Times New Roman" w:hAnsi="Calibri"/>
          <w:sz w:val="24"/>
          <w:szCs w:val="24"/>
          <w:lang w:eastAsia="cs-CZ"/>
        </w:rPr>
      </w:pPr>
    </w:p>
    <w:p w14:paraId="3CA12695" w14:textId="77777777" w:rsidR="00A75C74" w:rsidRDefault="00A75C74">
      <w:pPr>
        <w:pStyle w:val="Bezmezer"/>
        <w:jc w:val="both"/>
        <w:rPr>
          <w:rFonts w:ascii="Calibri" w:eastAsia="Times New Roman" w:hAnsi="Calibri"/>
          <w:sz w:val="24"/>
          <w:szCs w:val="24"/>
          <w:lang w:eastAsia="cs-CZ"/>
        </w:rPr>
      </w:pPr>
    </w:p>
    <w:p w14:paraId="0D51F275" w14:textId="77777777" w:rsidR="00A75C74" w:rsidRDefault="00A75C74">
      <w:pPr>
        <w:pStyle w:val="Bezmezer"/>
        <w:jc w:val="both"/>
        <w:rPr>
          <w:rFonts w:ascii="Calibri" w:eastAsia="Times New Roman" w:hAnsi="Calibri"/>
          <w:sz w:val="24"/>
          <w:szCs w:val="24"/>
          <w:lang w:eastAsia="cs-CZ"/>
        </w:rPr>
      </w:pPr>
    </w:p>
    <w:p w14:paraId="1BCF1B31" w14:textId="77777777" w:rsidR="00A75C74" w:rsidRDefault="00A75C74">
      <w:pPr>
        <w:pStyle w:val="Bezmezer"/>
        <w:jc w:val="both"/>
        <w:rPr>
          <w:rFonts w:ascii="Calibri" w:eastAsia="Times New Roman" w:hAnsi="Calibri"/>
          <w:sz w:val="24"/>
          <w:szCs w:val="24"/>
          <w:lang w:eastAsia="cs-CZ"/>
        </w:rPr>
      </w:pPr>
    </w:p>
    <w:p w14:paraId="7352F27A" w14:textId="77777777" w:rsidR="00A75C74" w:rsidRPr="00CD090F" w:rsidRDefault="00A75C74">
      <w:pPr>
        <w:pStyle w:val="Bezmezer"/>
        <w:jc w:val="both"/>
        <w:rPr>
          <w:rFonts w:ascii="Calibri" w:eastAsia="Times New Roman" w:hAnsi="Calibri"/>
          <w:sz w:val="24"/>
          <w:szCs w:val="24"/>
          <w:lang w:eastAsia="cs-CZ"/>
        </w:rPr>
      </w:pPr>
    </w:p>
    <w:p w14:paraId="79DEA9FE" w14:textId="42C246E2" w:rsidR="00440E3F" w:rsidRPr="00613BEE" w:rsidRDefault="00440E3F" w:rsidP="00613BEE">
      <w:pPr>
        <w:pStyle w:val="Bezmezer"/>
        <w:jc w:val="center"/>
        <w:rPr>
          <w:b/>
          <w:color w:val="365F91" w:themeColor="accent1" w:themeShade="BF"/>
          <w:sz w:val="24"/>
          <w:szCs w:val="24"/>
        </w:rPr>
      </w:pPr>
      <w:r w:rsidRPr="00613BEE">
        <w:rPr>
          <w:rFonts w:asciiTheme="minorHAnsi" w:hAnsiTheme="minorHAnsi"/>
          <w:b/>
          <w:color w:val="365F91" w:themeColor="accent1" w:themeShade="BF"/>
          <w:sz w:val="24"/>
          <w:szCs w:val="24"/>
        </w:rPr>
        <w:lastRenderedPageBreak/>
        <w:t xml:space="preserve">Část </w:t>
      </w:r>
      <w:r w:rsidR="005A20E4" w:rsidRPr="00613BEE">
        <w:rPr>
          <w:rFonts w:asciiTheme="minorHAnsi" w:hAnsiTheme="minorHAnsi"/>
          <w:b/>
          <w:color w:val="365F91" w:themeColor="accent1" w:themeShade="BF"/>
          <w:sz w:val="24"/>
          <w:szCs w:val="24"/>
        </w:rPr>
        <w:t>V</w:t>
      </w:r>
    </w:p>
    <w:p w14:paraId="6E2C7087" w14:textId="77777777" w:rsidR="00440E3F" w:rsidRPr="00103AC5" w:rsidRDefault="00440E3F" w:rsidP="000F0C05">
      <w:pPr>
        <w:keepNext/>
        <w:keepLines/>
        <w:spacing w:after="0" w:line="240" w:lineRule="auto"/>
        <w:ind w:left="714" w:hanging="357"/>
        <w:jc w:val="center"/>
        <w:outlineLvl w:val="0"/>
        <w:rPr>
          <w:rFonts w:ascii="Calibri" w:eastAsiaTheme="majorEastAsia" w:hAnsi="Calibri" w:cs="Times New Roman"/>
          <w:b/>
          <w:bCs/>
          <w:color w:val="365F91" w:themeColor="accent1" w:themeShade="BF"/>
          <w:sz w:val="24"/>
          <w:szCs w:val="24"/>
        </w:rPr>
      </w:pPr>
      <w:r w:rsidRPr="00103AC5">
        <w:rPr>
          <w:rFonts w:ascii="Calibri" w:eastAsiaTheme="majorEastAsia" w:hAnsi="Calibri" w:cs="Times New Roman"/>
          <w:b/>
          <w:bCs/>
          <w:color w:val="365F91" w:themeColor="accent1" w:themeShade="BF"/>
          <w:sz w:val="24"/>
          <w:szCs w:val="24"/>
        </w:rPr>
        <w:t>Všeobecné podmínky pro poskytnutí dotace</w:t>
      </w:r>
    </w:p>
    <w:p w14:paraId="39E5E39A" w14:textId="77777777" w:rsidR="00440E3F" w:rsidRPr="00103AC5" w:rsidRDefault="00440E3F" w:rsidP="000F0C05">
      <w:pPr>
        <w:spacing w:after="0" w:line="240" w:lineRule="auto"/>
        <w:ind w:left="360" w:hanging="357"/>
        <w:contextualSpacing/>
        <w:jc w:val="both"/>
        <w:rPr>
          <w:rFonts w:ascii="Calibri" w:hAnsi="Calibri" w:cs="Times New Roman"/>
          <w:sz w:val="24"/>
          <w:szCs w:val="24"/>
        </w:rPr>
      </w:pPr>
    </w:p>
    <w:p w14:paraId="43596ED3" w14:textId="085A35BB" w:rsidR="00440E3F" w:rsidRPr="00103AC5" w:rsidRDefault="00440E3F" w:rsidP="00613BEE">
      <w:pPr>
        <w:pStyle w:val="Bezmezer"/>
        <w:numPr>
          <w:ilvl w:val="0"/>
          <w:numId w:val="51"/>
        </w:numPr>
        <w:ind w:left="397" w:hanging="397"/>
        <w:jc w:val="both"/>
        <w:rPr>
          <w:rFonts w:ascii="Calibri" w:hAnsi="Calibri"/>
          <w:sz w:val="24"/>
          <w:szCs w:val="24"/>
        </w:rPr>
      </w:pPr>
      <w:r w:rsidRPr="00103AC5">
        <w:rPr>
          <w:rFonts w:ascii="Calibri" w:hAnsi="Calibri"/>
          <w:sz w:val="24"/>
          <w:szCs w:val="24"/>
        </w:rPr>
        <w:t xml:space="preserve">HMP poskytuje dotaci poskytovatelům </w:t>
      </w:r>
      <w:r w:rsidR="00D12C62" w:rsidRPr="00103AC5">
        <w:rPr>
          <w:rFonts w:ascii="Calibri" w:hAnsi="Calibri"/>
          <w:sz w:val="24"/>
          <w:szCs w:val="24"/>
        </w:rPr>
        <w:t xml:space="preserve">vybraných </w:t>
      </w:r>
      <w:r w:rsidRPr="00103AC5">
        <w:rPr>
          <w:rFonts w:ascii="Calibri" w:hAnsi="Calibri"/>
          <w:sz w:val="24"/>
          <w:szCs w:val="24"/>
        </w:rPr>
        <w:t>sociálních služeb na základě jejich žádosti</w:t>
      </w:r>
      <w:r w:rsidR="00F56E3C" w:rsidRPr="00103AC5">
        <w:rPr>
          <w:rFonts w:ascii="Calibri" w:hAnsi="Calibri"/>
          <w:sz w:val="24"/>
          <w:szCs w:val="24"/>
        </w:rPr>
        <w:t xml:space="preserve"> a v souladu s platným zněním </w:t>
      </w:r>
      <w:r w:rsidR="00B57276">
        <w:rPr>
          <w:rFonts w:ascii="Calibri" w:hAnsi="Calibri"/>
          <w:sz w:val="24"/>
          <w:szCs w:val="24"/>
        </w:rPr>
        <w:t>Registrace</w:t>
      </w:r>
      <w:r w:rsidR="00581920" w:rsidRPr="00103AC5">
        <w:rPr>
          <w:rFonts w:ascii="Calibri" w:hAnsi="Calibri"/>
          <w:sz w:val="24"/>
          <w:szCs w:val="24"/>
        </w:rPr>
        <w:t xml:space="preserve"> a Pověřením</w:t>
      </w:r>
      <w:r w:rsidR="00F56E3C" w:rsidRPr="00103AC5">
        <w:rPr>
          <w:rFonts w:ascii="Calibri" w:hAnsi="Calibri"/>
          <w:sz w:val="24"/>
          <w:szCs w:val="24"/>
        </w:rPr>
        <w:t>.</w:t>
      </w:r>
      <w:r w:rsidRPr="00103AC5">
        <w:rPr>
          <w:rFonts w:ascii="Calibri" w:hAnsi="Calibri"/>
          <w:sz w:val="24"/>
          <w:szCs w:val="24"/>
        </w:rPr>
        <w:t xml:space="preserve"> Žádost musí být řádně zpracována a podána výlučně v závazné formě</w:t>
      </w:r>
      <w:r w:rsidR="000E30B0" w:rsidRPr="00103AC5">
        <w:rPr>
          <w:rFonts w:ascii="Calibri" w:hAnsi="Calibri"/>
          <w:sz w:val="24"/>
          <w:szCs w:val="24"/>
        </w:rPr>
        <w:t xml:space="preserve"> dle příloh </w:t>
      </w:r>
      <w:r w:rsidR="005C724C">
        <w:rPr>
          <w:rFonts w:ascii="Calibri" w:hAnsi="Calibri"/>
          <w:sz w:val="24"/>
          <w:szCs w:val="24"/>
        </w:rPr>
        <w:t>Dotačního programu</w:t>
      </w:r>
      <w:r w:rsidR="00B57276">
        <w:rPr>
          <w:rFonts w:ascii="Calibri" w:hAnsi="Calibri"/>
          <w:sz w:val="24"/>
          <w:szCs w:val="24"/>
        </w:rPr>
        <w:t xml:space="preserve"> projektu</w:t>
      </w:r>
      <w:r w:rsidR="005C724C" w:rsidRPr="00103AC5">
        <w:rPr>
          <w:rFonts w:ascii="Calibri" w:hAnsi="Calibri"/>
          <w:sz w:val="24"/>
          <w:szCs w:val="24"/>
        </w:rPr>
        <w:t xml:space="preserve"> </w:t>
      </w:r>
      <w:r w:rsidRPr="00103AC5">
        <w:rPr>
          <w:rFonts w:ascii="Calibri" w:hAnsi="Calibri"/>
          <w:bCs/>
          <w:sz w:val="24"/>
          <w:szCs w:val="24"/>
        </w:rPr>
        <w:t>se všemi řádně</w:t>
      </w:r>
      <w:r w:rsidR="00545EE3" w:rsidRPr="00103AC5">
        <w:rPr>
          <w:rFonts w:ascii="Calibri" w:hAnsi="Calibri"/>
          <w:bCs/>
          <w:sz w:val="24"/>
          <w:szCs w:val="24"/>
        </w:rPr>
        <w:t xml:space="preserve"> </w:t>
      </w:r>
      <w:r w:rsidRPr="00103AC5">
        <w:rPr>
          <w:rFonts w:ascii="Calibri" w:hAnsi="Calibri"/>
          <w:bCs/>
          <w:sz w:val="24"/>
          <w:szCs w:val="24"/>
        </w:rPr>
        <w:t>vyplněnými položkami, relevantními k danému druhu sociální služby, včetně povinných příloh</w:t>
      </w:r>
      <w:r w:rsidR="00D80970" w:rsidRPr="00103AC5">
        <w:rPr>
          <w:rFonts w:ascii="Calibri" w:hAnsi="Calibri"/>
          <w:bCs/>
          <w:sz w:val="24"/>
          <w:szCs w:val="24"/>
        </w:rPr>
        <w:t xml:space="preserve"> žádosti</w:t>
      </w:r>
      <w:r w:rsidR="0044532A" w:rsidRPr="00103AC5">
        <w:rPr>
          <w:rFonts w:ascii="Calibri" w:hAnsi="Calibri"/>
          <w:bCs/>
          <w:sz w:val="24"/>
          <w:szCs w:val="24"/>
        </w:rPr>
        <w:t>.</w:t>
      </w:r>
    </w:p>
    <w:p w14:paraId="61AD313D" w14:textId="77777777" w:rsidR="00430878" w:rsidRPr="00103AC5" w:rsidRDefault="00430878" w:rsidP="00613BEE">
      <w:pPr>
        <w:pStyle w:val="Bezmezer"/>
        <w:ind w:left="397" w:hanging="397"/>
      </w:pPr>
    </w:p>
    <w:p w14:paraId="4C46E48D" w14:textId="54333320" w:rsidR="00440E3F" w:rsidRPr="00BF46BE" w:rsidRDefault="00791AC7" w:rsidP="00613BEE">
      <w:pPr>
        <w:pStyle w:val="Bezmezer"/>
        <w:numPr>
          <w:ilvl w:val="0"/>
          <w:numId w:val="51"/>
        </w:numPr>
        <w:ind w:left="397" w:hanging="397"/>
        <w:jc w:val="both"/>
        <w:rPr>
          <w:rFonts w:ascii="Calibri" w:hAnsi="Calibri"/>
          <w:sz w:val="24"/>
          <w:szCs w:val="24"/>
        </w:rPr>
      </w:pPr>
      <w:r w:rsidRPr="00BF46BE">
        <w:rPr>
          <w:rFonts w:ascii="Calibri" w:hAnsi="Calibri"/>
          <w:sz w:val="24"/>
          <w:szCs w:val="24"/>
        </w:rPr>
        <w:t>Vybraná sociální</w:t>
      </w:r>
      <w:r w:rsidR="00440E3F" w:rsidRPr="00BF46BE">
        <w:rPr>
          <w:rFonts w:ascii="Calibri" w:hAnsi="Calibri"/>
          <w:sz w:val="24"/>
          <w:szCs w:val="24"/>
        </w:rPr>
        <w:t xml:space="preserve"> služba může být </w:t>
      </w:r>
      <w:r w:rsidR="00581920" w:rsidRPr="00BF46BE">
        <w:rPr>
          <w:rFonts w:ascii="Calibri" w:hAnsi="Calibri"/>
          <w:sz w:val="24"/>
          <w:szCs w:val="24"/>
        </w:rPr>
        <w:t xml:space="preserve">současně </w:t>
      </w:r>
      <w:r w:rsidR="00440E3F" w:rsidRPr="00BF46BE">
        <w:rPr>
          <w:rFonts w:ascii="Calibri" w:hAnsi="Calibri"/>
          <w:sz w:val="24"/>
          <w:szCs w:val="24"/>
        </w:rPr>
        <w:t>spolufinancována z obecních a krajských rozpočtů, státního rozpočtu, z prostředků evropských fondů a z jiných zdrojů (tzv. vícezdrojové financování). Duplicitní úhrada stejných nákladů (výdajů) z různých veřejných i jiných zdrojů není dovolena.</w:t>
      </w:r>
    </w:p>
    <w:p w14:paraId="62310319" w14:textId="77777777" w:rsidR="001F66C7" w:rsidRPr="00BF46BE" w:rsidRDefault="001F66C7" w:rsidP="00613BEE">
      <w:pPr>
        <w:pStyle w:val="Bezmezer"/>
        <w:ind w:left="397" w:hanging="397"/>
        <w:jc w:val="both"/>
        <w:rPr>
          <w:rFonts w:ascii="Calibri" w:hAnsi="Calibri"/>
          <w:sz w:val="24"/>
          <w:szCs w:val="24"/>
        </w:rPr>
      </w:pPr>
    </w:p>
    <w:p w14:paraId="39A0C2CE" w14:textId="1F72E6C7" w:rsidR="000B7A78" w:rsidRDefault="001F66C7" w:rsidP="00613BEE">
      <w:pPr>
        <w:pStyle w:val="Odstavecseseznamem"/>
        <w:numPr>
          <w:ilvl w:val="0"/>
          <w:numId w:val="51"/>
        </w:numPr>
        <w:spacing w:after="0" w:line="240" w:lineRule="auto"/>
        <w:ind w:left="397" w:hanging="397"/>
        <w:contextualSpacing w:val="0"/>
        <w:jc w:val="both"/>
        <w:rPr>
          <w:sz w:val="24"/>
          <w:szCs w:val="24"/>
        </w:rPr>
      </w:pPr>
      <w:r w:rsidRPr="00BF46BE">
        <w:rPr>
          <w:sz w:val="24"/>
          <w:szCs w:val="24"/>
        </w:rPr>
        <w:t xml:space="preserve">Podmínkou poskytnutí </w:t>
      </w:r>
      <w:r w:rsidR="00A43872" w:rsidRPr="00BF46BE">
        <w:rPr>
          <w:sz w:val="24"/>
          <w:szCs w:val="24"/>
        </w:rPr>
        <w:t>d</w:t>
      </w:r>
      <w:r w:rsidRPr="00BF46BE">
        <w:rPr>
          <w:sz w:val="24"/>
          <w:szCs w:val="24"/>
        </w:rPr>
        <w:t xml:space="preserve">otace je absence závazků žadatele vůči orgánům veřejné správy po lhůtě splatnosti (zejména se jedná o daňové nedoplatky a penále, nedoplatky na pojistném a na penále na veřejné zdravotní pojištění, na pojistném a penále na sociálním zabezpečení a příspěvku na státní politiku zaměstnanosti a odvody za porušení rozpočtové kázně). Žadatel se současně nesmí nacházet v úpadku či likvidaci, a není proti němu vedeno insolvenční řízení, exekuční řízení. Žadatel bude zároveň ve Smlouvě povinen prohlásit, že nebyl v posledních 5 letech před podáním žádosti pravomocně odsouzen pro trestný čin uvedený v příloze č. 3 zákona č. 134/2016 Sb., o zadávání veřejných zakázek, ve znění pozdějších předpisů. Jde-li o právnickou osobu, musí tuto podmínku splňovat tato právnická osoba a zároveň každý člen statutárního orgánu této právnické osoby. Je-li členem statutárního orgánu Žadatele právnická osoba, musí podmínku splňovat jak tato právnická osoba, tak také každý člen statutárního orgánu této právnické osoby a osoba zastupující tuto právnickou osobu v statutárním orgánu Žadatele. </w:t>
      </w:r>
    </w:p>
    <w:p w14:paraId="10A19B72" w14:textId="77777777" w:rsidR="000B7A78" w:rsidRPr="000B7A78" w:rsidRDefault="000B7A78" w:rsidP="00613BEE">
      <w:pPr>
        <w:pStyle w:val="Odstavecseseznamem"/>
        <w:spacing w:after="0" w:line="240" w:lineRule="auto"/>
        <w:ind w:left="397"/>
        <w:contextualSpacing w:val="0"/>
        <w:jc w:val="both"/>
        <w:rPr>
          <w:sz w:val="24"/>
          <w:szCs w:val="24"/>
        </w:rPr>
      </w:pPr>
    </w:p>
    <w:p w14:paraId="2896887C" w14:textId="360CD880" w:rsidR="00DB0717" w:rsidRPr="00613BEE" w:rsidRDefault="00DB0717" w:rsidP="00613BEE">
      <w:pPr>
        <w:pStyle w:val="Odstavecseseznamem"/>
        <w:numPr>
          <w:ilvl w:val="0"/>
          <w:numId w:val="51"/>
        </w:numPr>
        <w:spacing w:after="0" w:line="240" w:lineRule="auto"/>
        <w:ind w:left="397" w:hanging="397"/>
        <w:contextualSpacing w:val="0"/>
        <w:jc w:val="both"/>
        <w:rPr>
          <w:sz w:val="24"/>
          <w:szCs w:val="24"/>
        </w:rPr>
      </w:pPr>
      <w:r w:rsidRPr="00613BEE">
        <w:rPr>
          <w:sz w:val="24"/>
          <w:szCs w:val="24"/>
        </w:rPr>
        <w:t xml:space="preserve">Podmínkou poskytnutí Dotace je, že Žadatel nepodal a nepodá Žádost o poskytnutí Dotace na stejný Účel na jiném odboru Magistrátu hlavního města Prahy. </w:t>
      </w:r>
    </w:p>
    <w:p w14:paraId="675E18BF" w14:textId="77777777" w:rsidR="000B7A78" w:rsidRPr="00613BEE" w:rsidRDefault="000B7A78" w:rsidP="00613BEE">
      <w:pPr>
        <w:pStyle w:val="Odstavecseseznamem"/>
        <w:spacing w:after="0" w:line="240" w:lineRule="auto"/>
        <w:ind w:left="397"/>
        <w:contextualSpacing w:val="0"/>
        <w:jc w:val="both"/>
        <w:rPr>
          <w:sz w:val="24"/>
          <w:szCs w:val="24"/>
        </w:rPr>
      </w:pPr>
    </w:p>
    <w:p w14:paraId="364A2265" w14:textId="656D9BEB" w:rsidR="00DB0717" w:rsidRPr="00103AC5" w:rsidRDefault="00DB0717" w:rsidP="00613BEE">
      <w:pPr>
        <w:pStyle w:val="Bezmezer"/>
        <w:numPr>
          <w:ilvl w:val="0"/>
          <w:numId w:val="51"/>
        </w:numPr>
        <w:ind w:left="397" w:hanging="397"/>
        <w:jc w:val="both"/>
        <w:rPr>
          <w:rFonts w:ascii="Calibri" w:hAnsi="Calibri"/>
          <w:sz w:val="24"/>
          <w:szCs w:val="24"/>
        </w:rPr>
      </w:pPr>
      <w:r w:rsidRPr="00BF46BE">
        <w:rPr>
          <w:rFonts w:ascii="Calibri" w:hAnsi="Calibri"/>
          <w:sz w:val="24"/>
          <w:szCs w:val="24"/>
        </w:rPr>
        <w:t>Žadatel se podáním Žádosti zavazuje, že veškeré dokumenty, které předloží HMP, budou zpracovány v souladu s Nařízením Evropského parlamentu</w:t>
      </w:r>
      <w:r w:rsidRPr="00DB0717">
        <w:rPr>
          <w:rFonts w:ascii="Calibri" w:hAnsi="Calibri"/>
          <w:sz w:val="24"/>
          <w:szCs w:val="24"/>
        </w:rPr>
        <w:t xml:space="preserve"> a Rady č. 2016/679 ze dne 27.</w:t>
      </w:r>
      <w:r w:rsidR="000B7A78">
        <w:rPr>
          <w:rFonts w:ascii="Calibri" w:hAnsi="Calibri"/>
          <w:sz w:val="24"/>
          <w:szCs w:val="24"/>
        </w:rPr>
        <w:t> </w:t>
      </w:r>
      <w:r w:rsidRPr="00DB0717">
        <w:rPr>
          <w:rFonts w:ascii="Calibri" w:hAnsi="Calibri"/>
          <w:sz w:val="24"/>
          <w:szCs w:val="24"/>
        </w:rPr>
        <w:t>4. 2016 o ochraně fyzických osob v souvislosti se zpracováním osobních údajů a</w:t>
      </w:r>
      <w:r w:rsidR="000B7A78">
        <w:rPr>
          <w:rFonts w:ascii="Calibri" w:hAnsi="Calibri"/>
          <w:sz w:val="24"/>
          <w:szCs w:val="24"/>
        </w:rPr>
        <w:t> </w:t>
      </w:r>
      <w:r w:rsidRPr="00DB0717">
        <w:rPr>
          <w:rFonts w:ascii="Calibri" w:hAnsi="Calibri"/>
          <w:sz w:val="24"/>
          <w:szCs w:val="24"/>
        </w:rPr>
        <w:t>o</w:t>
      </w:r>
      <w:r w:rsidR="000B7A78">
        <w:rPr>
          <w:rFonts w:ascii="Calibri" w:hAnsi="Calibri"/>
          <w:sz w:val="24"/>
          <w:szCs w:val="24"/>
        </w:rPr>
        <w:t> </w:t>
      </w:r>
      <w:r w:rsidRPr="00DB0717">
        <w:rPr>
          <w:rFonts w:ascii="Calibri" w:hAnsi="Calibri"/>
          <w:sz w:val="24"/>
          <w:szCs w:val="24"/>
        </w:rPr>
        <w:t>volném pohybu těchto údajů a o zrušení směrnice 95/46/ES („GDPR") účinným od 25.</w:t>
      </w:r>
      <w:r w:rsidR="000B7A78">
        <w:rPr>
          <w:rFonts w:ascii="Calibri" w:hAnsi="Calibri"/>
          <w:sz w:val="24"/>
          <w:szCs w:val="24"/>
        </w:rPr>
        <w:t> </w:t>
      </w:r>
      <w:r w:rsidRPr="00DB0717">
        <w:rPr>
          <w:rFonts w:ascii="Calibri" w:hAnsi="Calibri"/>
          <w:sz w:val="24"/>
          <w:szCs w:val="24"/>
        </w:rPr>
        <w:t xml:space="preserve"> 5. 2018</w:t>
      </w:r>
      <w:r>
        <w:rPr>
          <w:rFonts w:ascii="Calibri" w:hAnsi="Calibri"/>
          <w:sz w:val="24"/>
          <w:szCs w:val="24"/>
        </w:rPr>
        <w:t>.</w:t>
      </w:r>
    </w:p>
    <w:p w14:paraId="55165B7A" w14:textId="77777777" w:rsidR="00430878" w:rsidRPr="00613BEE" w:rsidRDefault="00430878" w:rsidP="0083495F">
      <w:pPr>
        <w:pStyle w:val="Bezmezer"/>
        <w:rPr>
          <w:sz w:val="24"/>
          <w:szCs w:val="24"/>
        </w:rPr>
      </w:pPr>
    </w:p>
    <w:p w14:paraId="5EC2292E" w14:textId="39036D66" w:rsidR="00BD3CAD" w:rsidRPr="00613BEE" w:rsidRDefault="00BD3CAD" w:rsidP="00613BEE">
      <w:pPr>
        <w:pStyle w:val="Bezmezer"/>
        <w:jc w:val="center"/>
        <w:rPr>
          <w:b/>
          <w:color w:val="365F91" w:themeColor="accent1" w:themeShade="BF"/>
          <w:sz w:val="24"/>
          <w:szCs w:val="24"/>
        </w:rPr>
      </w:pPr>
      <w:r w:rsidRPr="00613BEE">
        <w:rPr>
          <w:rFonts w:asciiTheme="minorHAnsi" w:hAnsiTheme="minorHAnsi"/>
          <w:b/>
          <w:color w:val="365F91" w:themeColor="accent1" w:themeShade="BF"/>
          <w:sz w:val="24"/>
          <w:szCs w:val="24"/>
        </w:rPr>
        <w:t>Část V</w:t>
      </w:r>
      <w:r w:rsidR="001911E9" w:rsidRPr="00613BEE">
        <w:rPr>
          <w:rFonts w:asciiTheme="minorHAnsi" w:hAnsiTheme="minorHAnsi"/>
          <w:b/>
          <w:color w:val="365F91" w:themeColor="accent1" w:themeShade="BF"/>
          <w:sz w:val="24"/>
          <w:szCs w:val="24"/>
        </w:rPr>
        <w:t>I</w:t>
      </w:r>
    </w:p>
    <w:p w14:paraId="4FE728BB" w14:textId="77777777" w:rsidR="009E6D4F" w:rsidRDefault="004771CD" w:rsidP="00130922">
      <w:pPr>
        <w:pStyle w:val="Bezmezer"/>
        <w:jc w:val="center"/>
        <w:rPr>
          <w:rFonts w:ascii="Calibri" w:eastAsiaTheme="majorEastAsia" w:hAnsi="Calibri" w:cs="Times New Roman"/>
          <w:b/>
          <w:bCs/>
          <w:color w:val="365F91" w:themeColor="accent1" w:themeShade="BF"/>
          <w:sz w:val="24"/>
          <w:szCs w:val="24"/>
        </w:rPr>
      </w:pPr>
      <w:r w:rsidRPr="004771CD">
        <w:rPr>
          <w:rFonts w:ascii="Calibri" w:eastAsiaTheme="majorEastAsia" w:hAnsi="Calibri" w:cs="Times New Roman"/>
          <w:b/>
          <w:bCs/>
          <w:color w:val="365F91" w:themeColor="accent1" w:themeShade="BF"/>
          <w:sz w:val="24"/>
          <w:szCs w:val="24"/>
        </w:rPr>
        <w:t>Lhůta pro podání Žádosti</w:t>
      </w:r>
    </w:p>
    <w:p w14:paraId="37EB0ADB" w14:textId="5388B287" w:rsidR="00440E3F" w:rsidRDefault="004771CD" w:rsidP="00130922">
      <w:pPr>
        <w:pStyle w:val="Bezmezer"/>
        <w:jc w:val="center"/>
        <w:rPr>
          <w:rFonts w:ascii="Calibri" w:eastAsiaTheme="majorEastAsia" w:hAnsi="Calibri" w:cs="Times New Roman"/>
          <w:b/>
          <w:bCs/>
          <w:color w:val="365F91" w:themeColor="accent1" w:themeShade="BF"/>
          <w:sz w:val="24"/>
          <w:szCs w:val="24"/>
        </w:rPr>
      </w:pPr>
      <w:r>
        <w:rPr>
          <w:rFonts w:ascii="Calibri" w:eastAsiaTheme="majorEastAsia" w:hAnsi="Calibri" w:cs="Times New Roman"/>
          <w:b/>
          <w:bCs/>
          <w:color w:val="365F91" w:themeColor="accent1" w:themeShade="BF"/>
          <w:sz w:val="24"/>
          <w:szCs w:val="24"/>
        </w:rPr>
        <w:t>Vzor Žádosti</w:t>
      </w:r>
    </w:p>
    <w:p w14:paraId="0064AFA0" w14:textId="77777777" w:rsidR="00130922" w:rsidRPr="00103AC5" w:rsidRDefault="00130922" w:rsidP="007E25EC">
      <w:pPr>
        <w:pStyle w:val="Bezmezer"/>
        <w:ind w:left="567" w:hanging="567"/>
        <w:jc w:val="center"/>
      </w:pPr>
    </w:p>
    <w:p w14:paraId="4F0C5557" w14:textId="11EDA2B3" w:rsidR="00440E3F" w:rsidRPr="00103AC5" w:rsidRDefault="003830CC" w:rsidP="00613BEE">
      <w:pPr>
        <w:pStyle w:val="Bezmezer"/>
        <w:numPr>
          <w:ilvl w:val="0"/>
          <w:numId w:val="52"/>
        </w:numPr>
        <w:ind w:left="397" w:hanging="397"/>
        <w:jc w:val="both"/>
        <w:rPr>
          <w:rFonts w:ascii="Calibri" w:hAnsi="Calibri"/>
          <w:sz w:val="24"/>
          <w:szCs w:val="24"/>
        </w:rPr>
      </w:pPr>
      <w:r w:rsidRPr="00103AC5">
        <w:rPr>
          <w:rFonts w:ascii="Calibri" w:hAnsi="Calibri"/>
          <w:sz w:val="24"/>
          <w:szCs w:val="24"/>
        </w:rPr>
        <w:t xml:space="preserve">Dotace se poskytuje na základě </w:t>
      </w:r>
      <w:r w:rsidR="005A20E4" w:rsidRPr="00103AC5">
        <w:rPr>
          <w:rFonts w:ascii="Calibri" w:hAnsi="Calibri"/>
          <w:sz w:val="24"/>
          <w:szCs w:val="24"/>
        </w:rPr>
        <w:t>Žádost</w:t>
      </w:r>
      <w:r w:rsidR="001F00B1">
        <w:rPr>
          <w:rFonts w:ascii="Calibri" w:hAnsi="Calibri"/>
          <w:sz w:val="24"/>
          <w:szCs w:val="24"/>
        </w:rPr>
        <w:t>i, kterou je oprávněn podat subjekt uvedený v okruhu způsobilých subjektů a splňující podmínky poskytnutí dotace dle Části V.</w:t>
      </w:r>
      <w:r w:rsidR="00440E3F" w:rsidRPr="00103AC5">
        <w:rPr>
          <w:rFonts w:ascii="Calibri" w:hAnsi="Calibri"/>
          <w:sz w:val="24"/>
          <w:szCs w:val="24"/>
        </w:rPr>
        <w:t xml:space="preserve"> </w:t>
      </w:r>
    </w:p>
    <w:p w14:paraId="2732C605" w14:textId="77777777" w:rsidR="001043C1" w:rsidRPr="00103AC5" w:rsidRDefault="001043C1" w:rsidP="00613BEE">
      <w:pPr>
        <w:pStyle w:val="Bezmezer"/>
        <w:ind w:left="397" w:hanging="397"/>
      </w:pPr>
    </w:p>
    <w:p w14:paraId="61E3785E" w14:textId="3E35C208" w:rsidR="0083495F" w:rsidRDefault="005A1856" w:rsidP="00613BEE">
      <w:pPr>
        <w:pStyle w:val="Bezmezer"/>
        <w:numPr>
          <w:ilvl w:val="0"/>
          <w:numId w:val="52"/>
        </w:numPr>
        <w:ind w:left="397" w:hanging="397"/>
        <w:jc w:val="both"/>
        <w:rPr>
          <w:rFonts w:ascii="Calibri" w:hAnsi="Calibri"/>
          <w:sz w:val="24"/>
          <w:szCs w:val="24"/>
        </w:rPr>
      </w:pPr>
      <w:r w:rsidRPr="00103AC5">
        <w:rPr>
          <w:rFonts w:ascii="Calibri" w:hAnsi="Calibri"/>
          <w:sz w:val="24"/>
          <w:szCs w:val="24"/>
        </w:rPr>
        <w:t>Žádost se podává</w:t>
      </w:r>
      <w:r w:rsidR="00E80905" w:rsidRPr="00103AC5">
        <w:rPr>
          <w:rFonts w:ascii="Calibri" w:hAnsi="Calibri"/>
          <w:sz w:val="24"/>
          <w:szCs w:val="24"/>
        </w:rPr>
        <w:t xml:space="preserve"> HMP</w:t>
      </w:r>
      <w:r w:rsidRPr="00103AC5">
        <w:rPr>
          <w:rFonts w:ascii="Calibri" w:hAnsi="Calibri"/>
          <w:sz w:val="24"/>
          <w:szCs w:val="24"/>
        </w:rPr>
        <w:t xml:space="preserve"> výhradně v písemné podobě včetně povinných příloh, a to v požadovaném termínu</w:t>
      </w:r>
      <w:r w:rsidR="005C0ABB" w:rsidRPr="00103AC5">
        <w:rPr>
          <w:rFonts w:ascii="Calibri" w:hAnsi="Calibri"/>
          <w:sz w:val="24"/>
          <w:szCs w:val="24"/>
        </w:rPr>
        <w:t>.</w:t>
      </w:r>
      <w:r w:rsidRPr="00103AC5">
        <w:rPr>
          <w:rFonts w:ascii="Calibri" w:hAnsi="Calibri"/>
          <w:sz w:val="24"/>
          <w:szCs w:val="24"/>
        </w:rPr>
        <w:t xml:space="preserve"> Žádost musí být opatřena podpisem (vzor formuláře Žádosti </w:t>
      </w:r>
      <w:r w:rsidR="007C4924">
        <w:rPr>
          <w:rFonts w:ascii="Calibri" w:hAnsi="Calibri"/>
          <w:sz w:val="24"/>
          <w:szCs w:val="24"/>
        </w:rPr>
        <w:t>-</w:t>
      </w:r>
      <w:r w:rsidRPr="00103AC5">
        <w:rPr>
          <w:rFonts w:ascii="Calibri" w:hAnsi="Calibri"/>
          <w:sz w:val="24"/>
          <w:szCs w:val="24"/>
        </w:rPr>
        <w:t xml:space="preserve"> viz příloha č. </w:t>
      </w:r>
      <w:r w:rsidR="001760CE">
        <w:rPr>
          <w:rFonts w:ascii="Calibri" w:hAnsi="Calibri"/>
          <w:sz w:val="24"/>
          <w:szCs w:val="24"/>
        </w:rPr>
        <w:t>2</w:t>
      </w:r>
      <w:r w:rsidRPr="00103AC5">
        <w:rPr>
          <w:rFonts w:ascii="Calibri" w:hAnsi="Calibri"/>
          <w:sz w:val="24"/>
          <w:szCs w:val="24"/>
        </w:rPr>
        <w:t xml:space="preserve"> a </w:t>
      </w:r>
      <w:r w:rsidR="001760CE">
        <w:rPr>
          <w:rFonts w:ascii="Calibri" w:hAnsi="Calibri"/>
          <w:sz w:val="24"/>
          <w:szCs w:val="24"/>
        </w:rPr>
        <w:t>3</w:t>
      </w:r>
      <w:r w:rsidRPr="00103AC5">
        <w:rPr>
          <w:rFonts w:ascii="Calibri" w:hAnsi="Calibri"/>
          <w:sz w:val="24"/>
          <w:szCs w:val="24"/>
        </w:rPr>
        <w:t xml:space="preserve"> </w:t>
      </w:r>
      <w:r w:rsidR="007C0E1E">
        <w:rPr>
          <w:rFonts w:ascii="Calibri" w:hAnsi="Calibri"/>
          <w:sz w:val="24"/>
          <w:szCs w:val="24"/>
        </w:rPr>
        <w:t>Dotačního programu projektu</w:t>
      </w:r>
      <w:r w:rsidRPr="00103AC5">
        <w:rPr>
          <w:rFonts w:ascii="Calibri" w:hAnsi="Calibri"/>
          <w:sz w:val="24"/>
          <w:szCs w:val="24"/>
        </w:rPr>
        <w:t xml:space="preserve">). </w:t>
      </w:r>
    </w:p>
    <w:p w14:paraId="6E8DA415" w14:textId="77777777" w:rsidR="001F00B1" w:rsidRDefault="001F00B1" w:rsidP="00613BEE">
      <w:pPr>
        <w:pStyle w:val="Bezmezer"/>
        <w:ind w:left="397" w:hanging="397"/>
        <w:jc w:val="both"/>
        <w:rPr>
          <w:rFonts w:ascii="Calibri" w:hAnsi="Calibri"/>
          <w:sz w:val="24"/>
          <w:szCs w:val="24"/>
        </w:rPr>
      </w:pPr>
    </w:p>
    <w:p w14:paraId="24755C3B" w14:textId="77777777" w:rsidR="00A75C74" w:rsidRPr="00103AC5" w:rsidRDefault="00A75C74" w:rsidP="00613BEE">
      <w:pPr>
        <w:pStyle w:val="Bezmezer"/>
        <w:ind w:left="397" w:hanging="397"/>
        <w:jc w:val="both"/>
        <w:rPr>
          <w:rFonts w:ascii="Calibri" w:hAnsi="Calibri"/>
          <w:sz w:val="24"/>
          <w:szCs w:val="24"/>
        </w:rPr>
      </w:pPr>
    </w:p>
    <w:p w14:paraId="4ADCB616" w14:textId="7C9199EE" w:rsidR="00440E3F" w:rsidRPr="00BF46BE" w:rsidRDefault="004771CD" w:rsidP="00613BEE">
      <w:pPr>
        <w:pStyle w:val="Bezmezer"/>
        <w:numPr>
          <w:ilvl w:val="0"/>
          <w:numId w:val="52"/>
        </w:numPr>
        <w:ind w:left="397" w:hanging="397"/>
        <w:jc w:val="both"/>
        <w:rPr>
          <w:rFonts w:ascii="Calibri" w:hAnsi="Calibri"/>
          <w:sz w:val="24"/>
          <w:szCs w:val="24"/>
        </w:rPr>
      </w:pPr>
      <w:r>
        <w:rPr>
          <w:rFonts w:ascii="Calibri" w:hAnsi="Calibri"/>
          <w:sz w:val="24"/>
          <w:szCs w:val="24"/>
        </w:rPr>
        <w:lastRenderedPageBreak/>
        <w:t xml:space="preserve">Lhůta pro podání žádosti je </w:t>
      </w:r>
      <w:r w:rsidRPr="00BF46BE">
        <w:rPr>
          <w:rFonts w:ascii="Calibri" w:hAnsi="Calibri"/>
          <w:sz w:val="24"/>
          <w:szCs w:val="24"/>
        </w:rPr>
        <w:t>stanovena</w:t>
      </w:r>
      <w:r w:rsidR="00B46BAD" w:rsidRPr="00BF46BE">
        <w:rPr>
          <w:rFonts w:ascii="Calibri" w:hAnsi="Calibri"/>
          <w:sz w:val="24"/>
          <w:szCs w:val="24"/>
        </w:rPr>
        <w:t xml:space="preserve"> </w:t>
      </w:r>
      <w:r w:rsidR="00733CA3" w:rsidRPr="00613BEE">
        <w:rPr>
          <w:rFonts w:ascii="Calibri" w:hAnsi="Calibri"/>
          <w:b/>
          <w:sz w:val="24"/>
          <w:szCs w:val="24"/>
        </w:rPr>
        <w:t xml:space="preserve">od </w:t>
      </w:r>
      <w:r w:rsidR="00FD42F6">
        <w:rPr>
          <w:rFonts w:ascii="Calibri" w:hAnsi="Calibri"/>
          <w:b/>
          <w:sz w:val="24"/>
          <w:szCs w:val="24"/>
        </w:rPr>
        <w:t>6</w:t>
      </w:r>
      <w:r w:rsidR="006C3DCC" w:rsidRPr="00613BEE">
        <w:rPr>
          <w:rFonts w:ascii="Calibri" w:hAnsi="Calibri"/>
          <w:b/>
          <w:sz w:val="24"/>
          <w:szCs w:val="24"/>
        </w:rPr>
        <w:t xml:space="preserve">. </w:t>
      </w:r>
      <w:r w:rsidR="00FD42F6">
        <w:rPr>
          <w:rFonts w:ascii="Calibri" w:hAnsi="Calibri"/>
          <w:b/>
          <w:sz w:val="24"/>
          <w:szCs w:val="24"/>
        </w:rPr>
        <w:t>5</w:t>
      </w:r>
      <w:r w:rsidR="006C3DCC" w:rsidRPr="00613BEE">
        <w:rPr>
          <w:rFonts w:ascii="Calibri" w:hAnsi="Calibri"/>
          <w:b/>
          <w:sz w:val="24"/>
          <w:szCs w:val="24"/>
        </w:rPr>
        <w:t xml:space="preserve">. 2019 do </w:t>
      </w:r>
      <w:r w:rsidR="00FD42F6">
        <w:rPr>
          <w:rFonts w:ascii="Calibri" w:hAnsi="Calibri"/>
          <w:b/>
          <w:sz w:val="24"/>
          <w:szCs w:val="24"/>
        </w:rPr>
        <w:t>13</w:t>
      </w:r>
      <w:r w:rsidR="006C3DCC" w:rsidRPr="00613BEE">
        <w:rPr>
          <w:rFonts w:ascii="Calibri" w:hAnsi="Calibri"/>
          <w:b/>
          <w:sz w:val="24"/>
          <w:szCs w:val="24"/>
        </w:rPr>
        <w:t xml:space="preserve">. </w:t>
      </w:r>
      <w:r w:rsidR="00613BEE">
        <w:rPr>
          <w:rFonts w:ascii="Calibri" w:hAnsi="Calibri"/>
          <w:b/>
          <w:sz w:val="24"/>
          <w:szCs w:val="24"/>
        </w:rPr>
        <w:t>5</w:t>
      </w:r>
      <w:r w:rsidR="006C3DCC" w:rsidRPr="00613BEE">
        <w:rPr>
          <w:rFonts w:ascii="Calibri" w:hAnsi="Calibri"/>
          <w:b/>
          <w:sz w:val="24"/>
          <w:szCs w:val="24"/>
        </w:rPr>
        <w:t>. 2019</w:t>
      </w:r>
      <w:r w:rsidR="00733CA3" w:rsidRPr="00BF46BE">
        <w:rPr>
          <w:rFonts w:ascii="Calibri" w:hAnsi="Calibri"/>
          <w:sz w:val="24"/>
          <w:szCs w:val="24"/>
        </w:rPr>
        <w:t xml:space="preserve"> </w:t>
      </w:r>
      <w:r w:rsidR="00440E3F" w:rsidRPr="00BF46BE">
        <w:rPr>
          <w:rFonts w:ascii="Calibri" w:hAnsi="Calibri"/>
          <w:sz w:val="24"/>
          <w:szCs w:val="24"/>
        </w:rPr>
        <w:t>(včetně).</w:t>
      </w:r>
      <w:r w:rsidRPr="00BF46BE">
        <w:rPr>
          <w:rFonts w:ascii="Calibri" w:hAnsi="Calibri"/>
          <w:sz w:val="24"/>
          <w:szCs w:val="24"/>
        </w:rPr>
        <w:t xml:space="preserve"> Pro dodržení lhůty je rozhodné datum doručení Žádosti.</w:t>
      </w:r>
    </w:p>
    <w:p w14:paraId="10423898" w14:textId="77777777" w:rsidR="004771CD" w:rsidRDefault="004771CD" w:rsidP="00613BEE">
      <w:pPr>
        <w:pStyle w:val="Bezmezer"/>
        <w:ind w:left="397" w:hanging="397"/>
        <w:jc w:val="both"/>
        <w:rPr>
          <w:rFonts w:ascii="Calibri" w:hAnsi="Calibri"/>
          <w:sz w:val="24"/>
          <w:szCs w:val="24"/>
        </w:rPr>
      </w:pPr>
    </w:p>
    <w:p w14:paraId="5D95445C" w14:textId="3FF30217" w:rsidR="00034AB5" w:rsidRPr="00C809A8" w:rsidRDefault="004771CD" w:rsidP="00613BEE">
      <w:pPr>
        <w:pStyle w:val="Bezmezer"/>
        <w:numPr>
          <w:ilvl w:val="0"/>
          <w:numId w:val="52"/>
        </w:numPr>
        <w:ind w:left="397" w:hanging="397"/>
        <w:jc w:val="both"/>
        <w:rPr>
          <w:rFonts w:ascii="Calibri" w:hAnsi="Calibri"/>
          <w:sz w:val="24"/>
          <w:szCs w:val="24"/>
        </w:rPr>
      </w:pPr>
      <w:r w:rsidRPr="00017134">
        <w:rPr>
          <w:rFonts w:ascii="Calibri" w:hAnsi="Calibri"/>
          <w:sz w:val="24"/>
          <w:szCs w:val="24"/>
        </w:rPr>
        <w:t>Žádost musí být podána na podatelně Magistrátu hl. m. Prahy (Mariánské náměstí 2, 110</w:t>
      </w:r>
      <w:r w:rsidR="009E6D4F">
        <w:rPr>
          <w:rFonts w:ascii="Calibri" w:hAnsi="Calibri"/>
          <w:sz w:val="24"/>
          <w:szCs w:val="24"/>
        </w:rPr>
        <w:t> </w:t>
      </w:r>
      <w:r w:rsidRPr="00017134">
        <w:rPr>
          <w:rFonts w:ascii="Calibri" w:hAnsi="Calibri"/>
          <w:sz w:val="24"/>
          <w:szCs w:val="24"/>
        </w:rPr>
        <w:t>00 Praha 1 nebo Jungmannova 35/29, 110 00 Praha 1 v úředních hodinách podatelny) nebo prostřednictvím držitele poštovní lic</w:t>
      </w:r>
      <w:r w:rsidRPr="0062094D">
        <w:rPr>
          <w:rFonts w:ascii="Calibri" w:hAnsi="Calibri"/>
          <w:sz w:val="24"/>
          <w:szCs w:val="24"/>
        </w:rPr>
        <w:t xml:space="preserve">ence na jednu z výše uvedených adres (datum podání musí být nejpozději v den uzávěrky přijímání žádostí), v zalepené obálce nadepsané </w:t>
      </w:r>
      <w:r w:rsidRPr="00C809A8">
        <w:rPr>
          <w:rFonts w:ascii="Calibri" w:hAnsi="Calibri"/>
          <w:b/>
          <w:sz w:val="24"/>
          <w:szCs w:val="24"/>
        </w:rPr>
        <w:t xml:space="preserve">„NEOTEVÍRAT </w:t>
      </w:r>
      <w:r w:rsidR="007C4924">
        <w:rPr>
          <w:rFonts w:ascii="Calibri" w:hAnsi="Calibri"/>
          <w:b/>
          <w:sz w:val="24"/>
          <w:szCs w:val="24"/>
        </w:rPr>
        <w:t>-</w:t>
      </w:r>
      <w:r w:rsidRPr="00C809A8">
        <w:rPr>
          <w:rFonts w:ascii="Calibri" w:hAnsi="Calibri"/>
          <w:b/>
          <w:sz w:val="24"/>
          <w:szCs w:val="24"/>
        </w:rPr>
        <w:t xml:space="preserve"> Žádost o dotace </w:t>
      </w:r>
      <w:r w:rsidR="007C4924">
        <w:rPr>
          <w:rFonts w:ascii="Calibri" w:hAnsi="Calibri"/>
          <w:b/>
          <w:sz w:val="24"/>
          <w:szCs w:val="24"/>
        </w:rPr>
        <w:t>-</w:t>
      </w:r>
      <w:r w:rsidRPr="00C809A8">
        <w:rPr>
          <w:rFonts w:ascii="Calibri" w:hAnsi="Calibri"/>
          <w:b/>
          <w:sz w:val="24"/>
          <w:szCs w:val="24"/>
        </w:rPr>
        <w:t xml:space="preserve"> PROGRAM </w:t>
      </w:r>
      <w:r w:rsidR="00034AB5" w:rsidRPr="00C809A8">
        <w:rPr>
          <w:rFonts w:ascii="Calibri" w:hAnsi="Calibri"/>
          <w:b/>
          <w:sz w:val="24"/>
          <w:szCs w:val="24"/>
        </w:rPr>
        <w:t>Podpora vybraných druhů sociálních služeb v krajské síti sociálních služeb na území hl. m. Prahy na roky 2019 - 2021</w:t>
      </w:r>
      <w:r w:rsidRPr="00C809A8">
        <w:rPr>
          <w:rFonts w:ascii="Calibri" w:hAnsi="Calibri"/>
          <w:b/>
          <w:sz w:val="24"/>
          <w:szCs w:val="24"/>
        </w:rPr>
        <w:t>“</w:t>
      </w:r>
      <w:r w:rsidRPr="00017134">
        <w:rPr>
          <w:rFonts w:ascii="Calibri" w:hAnsi="Calibri"/>
          <w:sz w:val="24"/>
          <w:szCs w:val="24"/>
        </w:rPr>
        <w:t xml:space="preserve">, </w:t>
      </w:r>
      <w:r w:rsidRPr="00C809A8">
        <w:rPr>
          <w:rFonts w:ascii="Calibri" w:hAnsi="Calibri"/>
          <w:sz w:val="24"/>
          <w:szCs w:val="24"/>
        </w:rPr>
        <w:t>včetně všech požadovaných příloh nebo prostřednictvím služby datové schránky (ID datové schránky: 48ia97h, datová zpráva musí označena jako</w:t>
      </w:r>
      <w:r w:rsidRPr="00017134">
        <w:rPr>
          <w:rFonts w:ascii="Calibri" w:hAnsi="Calibri"/>
          <w:i/>
          <w:sz w:val="24"/>
          <w:szCs w:val="24"/>
        </w:rPr>
        <w:t xml:space="preserve"> </w:t>
      </w:r>
      <w:r w:rsidR="0092231D" w:rsidRPr="00017134">
        <w:rPr>
          <w:rFonts w:ascii="Calibri" w:hAnsi="Calibri"/>
          <w:i/>
          <w:sz w:val="24"/>
          <w:szCs w:val="24"/>
        </w:rPr>
        <w:t>„</w:t>
      </w:r>
      <w:r w:rsidR="0092231D" w:rsidRPr="00017134">
        <w:rPr>
          <w:rFonts w:ascii="Calibri" w:hAnsi="Calibri"/>
          <w:b/>
          <w:sz w:val="24"/>
          <w:szCs w:val="24"/>
        </w:rPr>
        <w:t>Žádost o dotace</w:t>
      </w:r>
      <w:r w:rsidR="0092231D" w:rsidRPr="0062094D">
        <w:rPr>
          <w:rFonts w:ascii="Calibri" w:hAnsi="Calibri"/>
          <w:b/>
          <w:sz w:val="24"/>
          <w:szCs w:val="24"/>
        </w:rPr>
        <w:t xml:space="preserve"> </w:t>
      </w:r>
      <w:r w:rsidR="007C4924">
        <w:rPr>
          <w:rFonts w:ascii="Calibri" w:hAnsi="Calibri"/>
          <w:b/>
          <w:sz w:val="24"/>
          <w:szCs w:val="24"/>
        </w:rPr>
        <w:t>-</w:t>
      </w:r>
      <w:r w:rsidR="0092231D" w:rsidRPr="0062094D">
        <w:rPr>
          <w:rFonts w:ascii="Calibri" w:hAnsi="Calibri"/>
          <w:b/>
          <w:sz w:val="24"/>
          <w:szCs w:val="24"/>
        </w:rPr>
        <w:t xml:space="preserve"> PROGRAM </w:t>
      </w:r>
      <w:r w:rsidR="0092231D" w:rsidRPr="00C809A8">
        <w:rPr>
          <w:rFonts w:ascii="Calibri" w:hAnsi="Calibri"/>
          <w:b/>
          <w:sz w:val="24"/>
          <w:szCs w:val="24"/>
        </w:rPr>
        <w:t>Podpora vybraných druhů sociálních služeb v krajské síti sociálních služeb na území hl. m. Prahy na roky 2019 - 2021“</w:t>
      </w:r>
      <w:r w:rsidRPr="00C809A8">
        <w:rPr>
          <w:rFonts w:ascii="Calibri" w:hAnsi="Calibri"/>
          <w:b/>
          <w:sz w:val="24"/>
          <w:szCs w:val="24"/>
        </w:rPr>
        <w:t xml:space="preserve"> </w:t>
      </w:r>
      <w:r w:rsidRPr="00C809A8">
        <w:rPr>
          <w:rFonts w:ascii="Calibri" w:hAnsi="Calibri"/>
          <w:sz w:val="24"/>
          <w:szCs w:val="24"/>
        </w:rPr>
        <w:t>a musí být opatřena platným elektronickým podpisem statutárního zástupce)</w:t>
      </w:r>
      <w:r w:rsidR="00034AB5" w:rsidRPr="00C809A8">
        <w:rPr>
          <w:rFonts w:ascii="Calibri" w:hAnsi="Calibri"/>
          <w:sz w:val="24"/>
          <w:szCs w:val="24"/>
        </w:rPr>
        <w:t>.</w:t>
      </w:r>
    </w:p>
    <w:p w14:paraId="6A4EF076" w14:textId="77777777" w:rsidR="00034AB5" w:rsidRDefault="00034AB5" w:rsidP="00613BEE">
      <w:pPr>
        <w:pStyle w:val="Odstavecseseznamem"/>
        <w:spacing w:after="0"/>
        <w:ind w:left="397" w:hanging="397"/>
        <w:rPr>
          <w:rFonts w:ascii="Calibri" w:hAnsi="Calibri"/>
          <w:i/>
          <w:sz w:val="24"/>
          <w:szCs w:val="24"/>
        </w:rPr>
      </w:pPr>
    </w:p>
    <w:p w14:paraId="2D990484" w14:textId="77777777" w:rsidR="00AE0E17" w:rsidRDefault="00AE0E17" w:rsidP="00613BEE">
      <w:pPr>
        <w:pStyle w:val="Bezmezer"/>
        <w:numPr>
          <w:ilvl w:val="0"/>
          <w:numId w:val="52"/>
        </w:numPr>
        <w:ind w:left="397" w:hanging="397"/>
        <w:jc w:val="both"/>
        <w:rPr>
          <w:rFonts w:ascii="Calibri" w:hAnsi="Calibri"/>
          <w:sz w:val="24"/>
          <w:szCs w:val="24"/>
        </w:rPr>
      </w:pPr>
      <w:r w:rsidRPr="00C809A8">
        <w:rPr>
          <w:rFonts w:ascii="Calibri" w:hAnsi="Calibri"/>
          <w:sz w:val="24"/>
          <w:szCs w:val="24"/>
        </w:rPr>
        <w:t>Opravy, úpravy a doplňování Žádostí jsou přípustné pouze ve lhůtě pro podání Žádosti.</w:t>
      </w:r>
    </w:p>
    <w:p w14:paraId="5AA5464D" w14:textId="77777777" w:rsidR="00034AB5" w:rsidRPr="00C809A8" w:rsidRDefault="00034AB5" w:rsidP="00613BEE">
      <w:pPr>
        <w:pStyle w:val="Bezmezer"/>
        <w:ind w:left="397" w:hanging="397"/>
        <w:jc w:val="both"/>
        <w:rPr>
          <w:rFonts w:ascii="Calibri" w:hAnsi="Calibri"/>
          <w:sz w:val="24"/>
          <w:szCs w:val="24"/>
        </w:rPr>
      </w:pPr>
    </w:p>
    <w:p w14:paraId="1F7A48B3" w14:textId="5E35A49E" w:rsidR="00D51BDF" w:rsidRDefault="00D51BDF" w:rsidP="00613BEE">
      <w:pPr>
        <w:pStyle w:val="Bezmezer"/>
        <w:numPr>
          <w:ilvl w:val="0"/>
          <w:numId w:val="52"/>
        </w:numPr>
        <w:ind w:left="397" w:hanging="397"/>
        <w:jc w:val="both"/>
        <w:rPr>
          <w:rFonts w:ascii="Calibri" w:hAnsi="Calibri"/>
          <w:sz w:val="24"/>
          <w:szCs w:val="24"/>
        </w:rPr>
      </w:pPr>
      <w:r w:rsidRPr="00284212">
        <w:rPr>
          <w:rFonts w:ascii="Calibri" w:hAnsi="Calibri"/>
          <w:sz w:val="24"/>
          <w:szCs w:val="24"/>
        </w:rPr>
        <w:t xml:space="preserve">Žadatel je povinen na výzvu </w:t>
      </w:r>
      <w:r w:rsidRPr="006C2DDE">
        <w:rPr>
          <w:rFonts w:ascii="Calibri" w:hAnsi="Calibri"/>
          <w:sz w:val="24"/>
          <w:szCs w:val="24"/>
        </w:rPr>
        <w:t>Odboru MHMP bezodkladně písemně poskytnout upřesňující informace související s</w:t>
      </w:r>
      <w:r w:rsidR="007D1A47" w:rsidRPr="006C2DDE">
        <w:rPr>
          <w:rFonts w:ascii="Calibri" w:hAnsi="Calibri"/>
          <w:sz w:val="24"/>
          <w:szCs w:val="24"/>
        </w:rPr>
        <w:t> </w:t>
      </w:r>
      <w:r w:rsidRPr="00C809A8">
        <w:rPr>
          <w:rFonts w:ascii="Calibri" w:hAnsi="Calibri"/>
          <w:sz w:val="24"/>
          <w:szCs w:val="24"/>
        </w:rPr>
        <w:t>Žádostí</w:t>
      </w:r>
      <w:r w:rsidR="007D1A47" w:rsidRPr="00C809A8">
        <w:rPr>
          <w:rFonts w:ascii="Calibri" w:hAnsi="Calibri"/>
          <w:sz w:val="24"/>
          <w:szCs w:val="24"/>
        </w:rPr>
        <w:t>.</w:t>
      </w:r>
    </w:p>
    <w:p w14:paraId="4D123341" w14:textId="77777777" w:rsidR="0092231D" w:rsidRDefault="0092231D" w:rsidP="00613BEE">
      <w:pPr>
        <w:pStyle w:val="Bezmezer"/>
        <w:ind w:left="397" w:hanging="397"/>
        <w:jc w:val="both"/>
        <w:rPr>
          <w:rFonts w:ascii="Calibri" w:hAnsi="Calibri"/>
          <w:sz w:val="24"/>
          <w:szCs w:val="24"/>
        </w:rPr>
      </w:pPr>
    </w:p>
    <w:p w14:paraId="1155C551" w14:textId="4AF9262D" w:rsidR="000C3B80" w:rsidRPr="00017134" w:rsidRDefault="000C3B80" w:rsidP="00613BEE">
      <w:pPr>
        <w:pStyle w:val="Bezmezer"/>
        <w:numPr>
          <w:ilvl w:val="0"/>
          <w:numId w:val="52"/>
        </w:numPr>
        <w:ind w:left="397" w:hanging="397"/>
        <w:jc w:val="both"/>
        <w:rPr>
          <w:rFonts w:ascii="Calibri" w:hAnsi="Calibri"/>
          <w:sz w:val="24"/>
          <w:szCs w:val="24"/>
        </w:rPr>
      </w:pPr>
      <w:r w:rsidRPr="00B5344E">
        <w:rPr>
          <w:rFonts w:ascii="Calibri" w:hAnsi="Calibri"/>
          <w:sz w:val="24"/>
          <w:szCs w:val="24"/>
        </w:rPr>
        <w:t>Žádost doručená HMP se Žadateli nevrací a zůstává zaevidována na Odboru MHMP</w:t>
      </w:r>
      <w:r w:rsidR="0092231D">
        <w:rPr>
          <w:rFonts w:ascii="Calibri" w:hAnsi="Calibri"/>
          <w:sz w:val="24"/>
          <w:szCs w:val="24"/>
        </w:rPr>
        <w:t>.</w:t>
      </w:r>
    </w:p>
    <w:p w14:paraId="39D964CC" w14:textId="77777777" w:rsidR="00440E3F" w:rsidRPr="00103AC5" w:rsidRDefault="00440E3F" w:rsidP="000F0C05">
      <w:pPr>
        <w:keepNext/>
        <w:keepLines/>
        <w:spacing w:before="480" w:after="0" w:line="240" w:lineRule="auto"/>
        <w:ind w:left="714" w:hanging="357"/>
        <w:jc w:val="center"/>
        <w:outlineLvl w:val="0"/>
        <w:rPr>
          <w:rFonts w:ascii="Calibri" w:eastAsiaTheme="majorEastAsia" w:hAnsi="Calibri" w:cs="Times New Roman"/>
          <w:b/>
          <w:bCs/>
          <w:color w:val="365F91" w:themeColor="accent1" w:themeShade="BF"/>
          <w:sz w:val="24"/>
          <w:szCs w:val="24"/>
        </w:rPr>
      </w:pPr>
      <w:r w:rsidRPr="00103AC5">
        <w:rPr>
          <w:rFonts w:ascii="Calibri" w:eastAsiaTheme="majorEastAsia" w:hAnsi="Calibri" w:cs="Times New Roman"/>
          <w:b/>
          <w:bCs/>
          <w:color w:val="365F91" w:themeColor="accent1" w:themeShade="BF"/>
          <w:sz w:val="24"/>
          <w:szCs w:val="24"/>
        </w:rPr>
        <w:t>Část V</w:t>
      </w:r>
      <w:r w:rsidR="00F64EE9" w:rsidRPr="00103AC5">
        <w:rPr>
          <w:rFonts w:ascii="Calibri" w:eastAsiaTheme="majorEastAsia" w:hAnsi="Calibri" w:cs="Times New Roman"/>
          <w:b/>
          <w:bCs/>
          <w:color w:val="365F91" w:themeColor="accent1" w:themeShade="BF"/>
          <w:sz w:val="24"/>
          <w:szCs w:val="24"/>
        </w:rPr>
        <w:t>I</w:t>
      </w:r>
      <w:r w:rsidR="009C6EB5">
        <w:rPr>
          <w:rFonts w:ascii="Calibri" w:eastAsiaTheme="majorEastAsia" w:hAnsi="Calibri" w:cs="Times New Roman"/>
          <w:b/>
          <w:bCs/>
          <w:color w:val="365F91" w:themeColor="accent1" w:themeShade="BF"/>
          <w:sz w:val="24"/>
          <w:szCs w:val="24"/>
        </w:rPr>
        <w:t>I</w:t>
      </w:r>
    </w:p>
    <w:p w14:paraId="63FCBB27" w14:textId="6939CB7F" w:rsidR="00440E3F" w:rsidRDefault="00440E3F" w:rsidP="000F0C05">
      <w:pPr>
        <w:keepNext/>
        <w:keepLines/>
        <w:spacing w:after="0" w:line="240" w:lineRule="auto"/>
        <w:ind w:left="714" w:hanging="357"/>
        <w:jc w:val="center"/>
        <w:outlineLvl w:val="0"/>
        <w:rPr>
          <w:rFonts w:ascii="Calibri" w:eastAsiaTheme="majorEastAsia" w:hAnsi="Calibri" w:cs="Times New Roman"/>
          <w:b/>
          <w:bCs/>
          <w:color w:val="365F91" w:themeColor="accent1" w:themeShade="BF"/>
          <w:sz w:val="24"/>
          <w:szCs w:val="24"/>
        </w:rPr>
      </w:pPr>
      <w:r w:rsidRPr="00103AC5">
        <w:rPr>
          <w:rFonts w:ascii="Calibri" w:eastAsiaTheme="majorEastAsia" w:hAnsi="Calibri" w:cs="Times New Roman"/>
          <w:b/>
          <w:bCs/>
          <w:color w:val="365F91" w:themeColor="accent1" w:themeShade="BF"/>
          <w:sz w:val="24"/>
          <w:szCs w:val="24"/>
        </w:rPr>
        <w:t xml:space="preserve">Posouzení </w:t>
      </w:r>
      <w:r w:rsidR="00AE0E17">
        <w:rPr>
          <w:rFonts w:ascii="Calibri" w:eastAsiaTheme="majorEastAsia" w:hAnsi="Calibri" w:cs="Times New Roman"/>
          <w:b/>
          <w:bCs/>
          <w:color w:val="365F91" w:themeColor="accent1" w:themeShade="BF"/>
          <w:sz w:val="24"/>
          <w:szCs w:val="24"/>
        </w:rPr>
        <w:t>Ž</w:t>
      </w:r>
      <w:r w:rsidR="00AE0E17" w:rsidRPr="00103AC5">
        <w:rPr>
          <w:rFonts w:ascii="Calibri" w:eastAsiaTheme="majorEastAsia" w:hAnsi="Calibri" w:cs="Times New Roman"/>
          <w:b/>
          <w:bCs/>
          <w:color w:val="365F91" w:themeColor="accent1" w:themeShade="BF"/>
          <w:sz w:val="24"/>
          <w:szCs w:val="24"/>
        </w:rPr>
        <w:t xml:space="preserve">ádosti </w:t>
      </w:r>
      <w:r w:rsidRPr="00103AC5">
        <w:rPr>
          <w:rFonts w:ascii="Calibri" w:eastAsiaTheme="majorEastAsia" w:hAnsi="Calibri" w:cs="Times New Roman"/>
          <w:b/>
          <w:bCs/>
          <w:color w:val="365F91" w:themeColor="accent1" w:themeShade="BF"/>
          <w:sz w:val="24"/>
          <w:szCs w:val="24"/>
        </w:rPr>
        <w:t>o poskytnutí dotace</w:t>
      </w:r>
    </w:p>
    <w:p w14:paraId="71A4A739" w14:textId="77777777" w:rsidR="00AE0E17" w:rsidRDefault="00AE0E17" w:rsidP="000F0C05">
      <w:pPr>
        <w:keepNext/>
        <w:keepLines/>
        <w:spacing w:after="0" w:line="240" w:lineRule="auto"/>
        <w:ind w:left="714" w:hanging="357"/>
        <w:jc w:val="center"/>
        <w:outlineLvl w:val="0"/>
        <w:rPr>
          <w:rFonts w:ascii="Calibri" w:eastAsiaTheme="majorEastAsia" w:hAnsi="Calibri" w:cs="Times New Roman"/>
          <w:b/>
          <w:bCs/>
          <w:color w:val="365F91" w:themeColor="accent1" w:themeShade="BF"/>
          <w:sz w:val="24"/>
          <w:szCs w:val="24"/>
        </w:rPr>
      </w:pPr>
      <w:r>
        <w:rPr>
          <w:rFonts w:ascii="Calibri" w:eastAsiaTheme="majorEastAsia" w:hAnsi="Calibri" w:cs="Times New Roman"/>
          <w:b/>
          <w:bCs/>
          <w:color w:val="365F91" w:themeColor="accent1" w:themeShade="BF"/>
          <w:sz w:val="24"/>
          <w:szCs w:val="24"/>
        </w:rPr>
        <w:t>Kritéria hodnocení Žádosti</w:t>
      </w:r>
    </w:p>
    <w:p w14:paraId="0647C673" w14:textId="77777777" w:rsidR="00440E3F" w:rsidRPr="00103AC5" w:rsidRDefault="00440E3F" w:rsidP="0083495F">
      <w:pPr>
        <w:pStyle w:val="Bezmezer"/>
      </w:pPr>
    </w:p>
    <w:p w14:paraId="6B9C5417" w14:textId="63E89482" w:rsidR="00922DB0" w:rsidRPr="00613BEE" w:rsidRDefault="00922DB0" w:rsidP="00613BEE">
      <w:pPr>
        <w:pStyle w:val="Bezmezer"/>
        <w:rPr>
          <w:rFonts w:asciiTheme="minorHAnsi" w:hAnsiTheme="minorHAnsi"/>
        </w:rPr>
      </w:pPr>
      <w:r w:rsidRPr="00613BEE">
        <w:rPr>
          <w:rFonts w:asciiTheme="minorHAnsi" w:hAnsiTheme="minorHAnsi"/>
          <w:sz w:val="24"/>
          <w:szCs w:val="24"/>
        </w:rPr>
        <w:t>Podaná Žádost bude posuzována a hodnocena na základě následujících Kritérií:</w:t>
      </w:r>
    </w:p>
    <w:p w14:paraId="6752F80E" w14:textId="5911F4E9" w:rsidR="00922DB0" w:rsidRPr="00C809A8" w:rsidRDefault="00922DB0" w:rsidP="00613BEE">
      <w:pPr>
        <w:pStyle w:val="Zkladntextodsazen3"/>
        <w:spacing w:before="240" w:after="120" w:line="320" w:lineRule="exact"/>
        <w:ind w:left="397" w:hanging="397"/>
        <w:rPr>
          <w:rFonts w:asciiTheme="minorHAnsi" w:hAnsiTheme="minorHAnsi"/>
          <w:b/>
          <w:u w:val="single"/>
        </w:rPr>
      </w:pPr>
      <w:r w:rsidRPr="00C809A8">
        <w:rPr>
          <w:rFonts w:asciiTheme="minorHAnsi" w:hAnsiTheme="minorHAnsi"/>
          <w:b/>
          <w:u w:val="single"/>
        </w:rPr>
        <w:t xml:space="preserve">a) </w:t>
      </w:r>
      <w:r w:rsidR="009E6D4F">
        <w:rPr>
          <w:rFonts w:asciiTheme="minorHAnsi" w:hAnsiTheme="minorHAnsi"/>
          <w:b/>
          <w:u w:val="single"/>
        </w:rPr>
        <w:tab/>
      </w:r>
      <w:r w:rsidRPr="00C809A8">
        <w:rPr>
          <w:rFonts w:asciiTheme="minorHAnsi" w:hAnsiTheme="minorHAnsi"/>
          <w:b/>
          <w:u w:val="single"/>
        </w:rPr>
        <w:t>Formální náležitosti Žádosti</w:t>
      </w:r>
    </w:p>
    <w:p w14:paraId="75031B1B" w14:textId="68A3FB1A" w:rsidR="00922DB0" w:rsidRPr="00C809A8" w:rsidRDefault="00922DB0" w:rsidP="00613BEE">
      <w:pPr>
        <w:pStyle w:val="Zkladntextodsazen3"/>
        <w:spacing w:before="120" w:after="120"/>
        <w:ind w:left="397" w:firstLine="0"/>
        <w:rPr>
          <w:rFonts w:asciiTheme="minorHAnsi" w:hAnsiTheme="minorHAnsi"/>
        </w:rPr>
      </w:pPr>
      <w:r w:rsidRPr="00C809A8">
        <w:rPr>
          <w:rFonts w:asciiTheme="minorHAnsi" w:hAnsiTheme="minorHAnsi"/>
        </w:rPr>
        <w:t>Odbor MHMP, posoudí, zda Žádost byla podána řádně (bezchybně a kompletně vyplněná)požadovaným způsobem, včas (ve lhůtě pro podání Žádosti), zda splnila formální náležitosti (razítko a podpis oprávněné osoby, požadované přílohy apod.) a podmínky vyžadované v Dotačním programu</w:t>
      </w:r>
      <w:r w:rsidR="00EE3CDD">
        <w:rPr>
          <w:rFonts w:asciiTheme="minorHAnsi" w:hAnsiTheme="minorHAnsi"/>
        </w:rPr>
        <w:t xml:space="preserve"> projektu</w:t>
      </w:r>
      <w:r w:rsidRPr="00C809A8">
        <w:rPr>
          <w:rFonts w:asciiTheme="minorHAnsi" w:hAnsiTheme="minorHAnsi"/>
        </w:rPr>
        <w:t>.</w:t>
      </w:r>
    </w:p>
    <w:p w14:paraId="1333DBD7" w14:textId="5DD0752C" w:rsidR="00922DB0" w:rsidRPr="00C809A8" w:rsidRDefault="00922DB0" w:rsidP="00613BEE">
      <w:pPr>
        <w:pStyle w:val="Zkladntextodsazen3"/>
        <w:spacing w:before="240" w:after="120" w:line="320" w:lineRule="exact"/>
        <w:ind w:left="397" w:hanging="397"/>
        <w:rPr>
          <w:rFonts w:asciiTheme="minorHAnsi" w:hAnsiTheme="minorHAnsi"/>
          <w:b/>
          <w:u w:val="single"/>
        </w:rPr>
      </w:pPr>
      <w:r w:rsidRPr="00C809A8">
        <w:rPr>
          <w:rFonts w:asciiTheme="minorHAnsi" w:hAnsiTheme="minorHAnsi"/>
          <w:b/>
          <w:u w:val="single"/>
        </w:rPr>
        <w:t xml:space="preserve">b) </w:t>
      </w:r>
      <w:r w:rsidR="009E6D4F">
        <w:rPr>
          <w:rFonts w:asciiTheme="minorHAnsi" w:hAnsiTheme="minorHAnsi"/>
          <w:b/>
          <w:u w:val="single"/>
        </w:rPr>
        <w:tab/>
      </w:r>
      <w:r w:rsidRPr="00C809A8">
        <w:rPr>
          <w:rFonts w:asciiTheme="minorHAnsi" w:hAnsiTheme="minorHAnsi"/>
          <w:b/>
          <w:u w:val="single"/>
        </w:rPr>
        <w:t>Podmínky vztahující se k osobě Žadatele</w:t>
      </w:r>
    </w:p>
    <w:p w14:paraId="59B0DECD" w14:textId="4CC82EDE" w:rsidR="00BE49EF" w:rsidRDefault="00922DB0" w:rsidP="00613BEE">
      <w:pPr>
        <w:pStyle w:val="Bezmezer"/>
        <w:ind w:left="397"/>
        <w:rPr>
          <w:rFonts w:asciiTheme="minorHAnsi" w:hAnsiTheme="minorHAnsi"/>
        </w:rPr>
      </w:pPr>
      <w:r w:rsidRPr="00613BEE">
        <w:rPr>
          <w:rFonts w:asciiTheme="minorHAnsi" w:hAnsiTheme="minorHAnsi"/>
          <w:sz w:val="24"/>
          <w:szCs w:val="24"/>
        </w:rPr>
        <w:t>Odbor MHMP posoudí, zda subjekt podávající Žádost náleží do Okruhu způsobilých</w:t>
      </w:r>
      <w:r w:rsidR="00EE3CDD" w:rsidRPr="00613BEE">
        <w:rPr>
          <w:rFonts w:asciiTheme="minorHAnsi" w:hAnsiTheme="minorHAnsi"/>
          <w:sz w:val="24"/>
          <w:szCs w:val="24"/>
        </w:rPr>
        <w:t xml:space="preserve"> žadatelů</w:t>
      </w:r>
      <w:r w:rsidRPr="00613BEE">
        <w:rPr>
          <w:rFonts w:asciiTheme="minorHAnsi" w:hAnsiTheme="minorHAnsi"/>
          <w:sz w:val="24"/>
          <w:szCs w:val="24"/>
        </w:rPr>
        <w:t xml:space="preserve"> a zda splňuje Podmínky pro poskytnutí dotace.</w:t>
      </w:r>
    </w:p>
    <w:p w14:paraId="4E6A24D4" w14:textId="77777777" w:rsidR="009E6D4F" w:rsidRPr="00613BEE" w:rsidRDefault="009E6D4F" w:rsidP="00613BEE">
      <w:pPr>
        <w:pStyle w:val="Bezmezer"/>
        <w:ind w:left="397"/>
        <w:rPr>
          <w:rFonts w:asciiTheme="minorHAnsi" w:hAnsiTheme="minorHAnsi"/>
        </w:rPr>
      </w:pPr>
    </w:p>
    <w:tbl>
      <w:tblPr>
        <w:tblStyle w:val="Mkatabulky"/>
        <w:tblW w:w="9066" w:type="dxa"/>
        <w:tblLook w:val="04A0" w:firstRow="1" w:lastRow="0" w:firstColumn="1" w:lastColumn="0" w:noHBand="0" w:noVBand="1"/>
      </w:tblPr>
      <w:tblGrid>
        <w:gridCol w:w="4937"/>
        <w:gridCol w:w="1701"/>
        <w:gridCol w:w="2428"/>
      </w:tblGrid>
      <w:tr w:rsidR="00457E26" w:rsidRPr="009654D2" w14:paraId="0CB7814B" w14:textId="77777777" w:rsidTr="00613BEE">
        <w:tc>
          <w:tcPr>
            <w:tcW w:w="4937" w:type="dxa"/>
          </w:tcPr>
          <w:p w14:paraId="21C7F876" w14:textId="77777777" w:rsidR="007930F4" w:rsidRPr="009654D2" w:rsidRDefault="007930F4" w:rsidP="00613BEE">
            <w:pPr>
              <w:ind w:left="397" w:hanging="397"/>
              <w:rPr>
                <w:rFonts w:asciiTheme="minorHAnsi" w:eastAsia="Times New Roman" w:hAnsiTheme="minorHAnsi"/>
                <w:b/>
                <w:sz w:val="24"/>
                <w:szCs w:val="24"/>
              </w:rPr>
            </w:pPr>
          </w:p>
        </w:tc>
        <w:tc>
          <w:tcPr>
            <w:tcW w:w="1701" w:type="dxa"/>
            <w:vAlign w:val="center"/>
          </w:tcPr>
          <w:p w14:paraId="0F938CA1" w14:textId="77777777" w:rsidR="007930F4" w:rsidRPr="009654D2" w:rsidRDefault="007930F4" w:rsidP="00613BEE">
            <w:pPr>
              <w:ind w:left="397" w:hanging="397"/>
              <w:jc w:val="center"/>
              <w:rPr>
                <w:rFonts w:asciiTheme="minorHAnsi" w:eastAsia="Times New Roman" w:hAnsiTheme="minorHAnsi"/>
                <w:b/>
                <w:sz w:val="24"/>
                <w:szCs w:val="24"/>
              </w:rPr>
            </w:pPr>
            <w:r w:rsidRPr="009654D2">
              <w:rPr>
                <w:rFonts w:asciiTheme="minorHAnsi" w:eastAsia="Times New Roman" w:hAnsiTheme="minorHAnsi"/>
                <w:b/>
                <w:sz w:val="24"/>
                <w:szCs w:val="24"/>
              </w:rPr>
              <w:t>splněno</w:t>
            </w:r>
          </w:p>
        </w:tc>
        <w:tc>
          <w:tcPr>
            <w:tcW w:w="2428" w:type="dxa"/>
            <w:vAlign w:val="center"/>
          </w:tcPr>
          <w:p w14:paraId="2A86B416" w14:textId="77777777" w:rsidR="007930F4" w:rsidRPr="009654D2" w:rsidRDefault="007930F4" w:rsidP="00613BEE">
            <w:pPr>
              <w:ind w:left="397" w:hanging="397"/>
              <w:jc w:val="center"/>
              <w:rPr>
                <w:rFonts w:asciiTheme="minorHAnsi" w:eastAsia="Times New Roman" w:hAnsiTheme="minorHAnsi"/>
                <w:b/>
                <w:sz w:val="24"/>
                <w:szCs w:val="24"/>
              </w:rPr>
            </w:pPr>
            <w:r w:rsidRPr="009654D2">
              <w:rPr>
                <w:rFonts w:asciiTheme="minorHAnsi" w:eastAsia="Times New Roman" w:hAnsiTheme="minorHAnsi"/>
                <w:b/>
                <w:sz w:val="24"/>
                <w:szCs w:val="24"/>
              </w:rPr>
              <w:t>nesplněno</w:t>
            </w:r>
          </w:p>
        </w:tc>
      </w:tr>
      <w:tr w:rsidR="00457E26" w:rsidRPr="009654D2" w14:paraId="04238067" w14:textId="77777777" w:rsidTr="00613BEE">
        <w:tc>
          <w:tcPr>
            <w:tcW w:w="4937" w:type="dxa"/>
          </w:tcPr>
          <w:p w14:paraId="76E7D0CA" w14:textId="75E510F9" w:rsidR="007930F4" w:rsidRPr="00613BEE" w:rsidRDefault="00457E26" w:rsidP="00613BEE">
            <w:pPr>
              <w:pStyle w:val="Bezmezer"/>
              <w:rPr>
                <w:rFonts w:asciiTheme="minorHAnsi" w:hAnsiTheme="minorHAnsi" w:cstheme="minorBidi"/>
                <w:b/>
                <w:sz w:val="24"/>
                <w:szCs w:val="24"/>
                <w:lang w:eastAsia="en-US"/>
              </w:rPr>
            </w:pPr>
            <w:r w:rsidRPr="00DB0500">
              <w:rPr>
                <w:rFonts w:asciiTheme="minorHAnsi" w:hAnsiTheme="minorHAnsi"/>
                <w:sz w:val="24"/>
                <w:szCs w:val="24"/>
              </w:rPr>
              <w:t>a)</w:t>
            </w:r>
            <w:r w:rsidRPr="00DB0500">
              <w:rPr>
                <w:rFonts w:asciiTheme="minorHAnsi" w:hAnsiTheme="minorHAnsi"/>
                <w:sz w:val="24"/>
                <w:szCs w:val="24"/>
              </w:rPr>
              <w:tab/>
              <w:t>doručení v termínu</w:t>
            </w:r>
          </w:p>
        </w:tc>
        <w:tc>
          <w:tcPr>
            <w:tcW w:w="1701" w:type="dxa"/>
            <w:vAlign w:val="center"/>
          </w:tcPr>
          <w:p w14:paraId="3641DE94" w14:textId="5A81748B" w:rsidR="007930F4" w:rsidRPr="009654D2" w:rsidRDefault="007930F4" w:rsidP="00613BEE">
            <w:pPr>
              <w:ind w:left="397" w:hanging="397"/>
              <w:jc w:val="center"/>
              <w:rPr>
                <w:rFonts w:asciiTheme="minorHAnsi" w:eastAsia="Times New Roman" w:hAnsiTheme="minorHAnsi"/>
                <w:sz w:val="24"/>
                <w:szCs w:val="24"/>
              </w:rPr>
            </w:pPr>
            <w:r w:rsidRPr="009654D2">
              <w:rPr>
                <w:rFonts w:asciiTheme="minorHAnsi" w:eastAsia="Times New Roman" w:hAnsiTheme="minorHAnsi"/>
                <w:sz w:val="24"/>
                <w:szCs w:val="24"/>
              </w:rPr>
              <w:t>ověřeno</w:t>
            </w:r>
          </w:p>
        </w:tc>
        <w:tc>
          <w:tcPr>
            <w:tcW w:w="2428" w:type="dxa"/>
            <w:vAlign w:val="center"/>
          </w:tcPr>
          <w:p w14:paraId="18049DB9" w14:textId="77777777" w:rsidR="007930F4" w:rsidRPr="009654D2" w:rsidRDefault="007930F4" w:rsidP="00613BEE">
            <w:pPr>
              <w:ind w:left="397" w:hanging="397"/>
              <w:jc w:val="center"/>
              <w:rPr>
                <w:rFonts w:asciiTheme="minorHAnsi" w:eastAsia="Times New Roman" w:hAnsiTheme="minorHAnsi"/>
                <w:sz w:val="24"/>
                <w:szCs w:val="24"/>
              </w:rPr>
            </w:pPr>
            <w:r w:rsidRPr="009654D2">
              <w:rPr>
                <w:rFonts w:asciiTheme="minorHAnsi" w:eastAsia="Times New Roman" w:hAnsiTheme="minorHAnsi"/>
                <w:sz w:val="24"/>
                <w:szCs w:val="24"/>
              </w:rPr>
              <w:t>vyřazen</w:t>
            </w:r>
          </w:p>
        </w:tc>
      </w:tr>
      <w:tr w:rsidR="00457E26" w:rsidRPr="009654D2" w14:paraId="6ED91955" w14:textId="77777777" w:rsidTr="00613BEE">
        <w:tc>
          <w:tcPr>
            <w:tcW w:w="4937" w:type="dxa"/>
          </w:tcPr>
          <w:p w14:paraId="610199C0" w14:textId="6FC91C50" w:rsidR="007930F4" w:rsidRPr="00613BEE" w:rsidRDefault="00457E26" w:rsidP="00613BEE">
            <w:pPr>
              <w:pStyle w:val="Bezmezer"/>
              <w:rPr>
                <w:rFonts w:asciiTheme="minorHAnsi" w:hAnsiTheme="minorHAnsi" w:cstheme="minorBidi"/>
                <w:b/>
                <w:sz w:val="24"/>
                <w:szCs w:val="24"/>
                <w:lang w:eastAsia="en-US"/>
              </w:rPr>
            </w:pPr>
            <w:r w:rsidRPr="00C87189">
              <w:rPr>
                <w:rFonts w:asciiTheme="minorHAnsi" w:hAnsiTheme="minorHAnsi"/>
                <w:sz w:val="24"/>
                <w:szCs w:val="24"/>
              </w:rPr>
              <w:t>b)</w:t>
            </w:r>
            <w:r w:rsidRPr="00C87189">
              <w:rPr>
                <w:rFonts w:asciiTheme="minorHAnsi" w:hAnsiTheme="minorHAnsi"/>
                <w:sz w:val="24"/>
                <w:szCs w:val="24"/>
              </w:rPr>
              <w:tab/>
              <w:t>místo a datum podpisu Žádosti</w:t>
            </w:r>
          </w:p>
        </w:tc>
        <w:tc>
          <w:tcPr>
            <w:tcW w:w="1701" w:type="dxa"/>
            <w:vAlign w:val="center"/>
          </w:tcPr>
          <w:p w14:paraId="15744CA5" w14:textId="77777777" w:rsidR="007930F4" w:rsidRPr="009654D2" w:rsidRDefault="007930F4" w:rsidP="00613BEE">
            <w:pPr>
              <w:ind w:left="397" w:hanging="397"/>
              <w:jc w:val="center"/>
              <w:rPr>
                <w:rFonts w:asciiTheme="minorHAnsi" w:eastAsia="Times New Roman" w:hAnsiTheme="minorHAnsi"/>
                <w:sz w:val="24"/>
                <w:szCs w:val="24"/>
              </w:rPr>
            </w:pPr>
            <w:r w:rsidRPr="009654D2">
              <w:rPr>
                <w:rFonts w:asciiTheme="minorHAnsi" w:eastAsia="Times New Roman" w:hAnsiTheme="minorHAnsi"/>
                <w:sz w:val="24"/>
                <w:szCs w:val="24"/>
              </w:rPr>
              <w:t>ověřeno</w:t>
            </w:r>
          </w:p>
        </w:tc>
        <w:tc>
          <w:tcPr>
            <w:tcW w:w="2428" w:type="dxa"/>
            <w:vAlign w:val="center"/>
          </w:tcPr>
          <w:p w14:paraId="29AD0D04" w14:textId="77777777" w:rsidR="007930F4" w:rsidRPr="009654D2" w:rsidRDefault="007930F4" w:rsidP="00613BEE">
            <w:pPr>
              <w:ind w:left="397" w:hanging="397"/>
              <w:jc w:val="center"/>
              <w:rPr>
                <w:rFonts w:asciiTheme="minorHAnsi" w:eastAsia="Times New Roman" w:hAnsiTheme="minorHAnsi"/>
                <w:sz w:val="24"/>
                <w:szCs w:val="24"/>
              </w:rPr>
            </w:pPr>
            <w:r w:rsidRPr="009654D2">
              <w:rPr>
                <w:rFonts w:asciiTheme="minorHAnsi" w:eastAsia="Times New Roman" w:hAnsiTheme="minorHAnsi"/>
                <w:sz w:val="24"/>
                <w:szCs w:val="24"/>
              </w:rPr>
              <w:t>vyřazen</w:t>
            </w:r>
          </w:p>
        </w:tc>
      </w:tr>
      <w:tr w:rsidR="00457E26" w:rsidRPr="009654D2" w14:paraId="18A53677" w14:textId="77777777" w:rsidTr="00613BEE">
        <w:tc>
          <w:tcPr>
            <w:tcW w:w="4937" w:type="dxa"/>
          </w:tcPr>
          <w:p w14:paraId="4CC58A25" w14:textId="77777777" w:rsidR="00A75C74" w:rsidRDefault="00A75C74" w:rsidP="00A75C74">
            <w:pPr>
              <w:pStyle w:val="Bezmezer"/>
              <w:rPr>
                <w:rFonts w:asciiTheme="minorHAnsi" w:hAnsiTheme="minorHAnsi"/>
                <w:sz w:val="24"/>
                <w:szCs w:val="24"/>
              </w:rPr>
            </w:pPr>
            <w:r w:rsidRPr="009D28EE">
              <w:rPr>
                <w:rFonts w:asciiTheme="minorHAnsi" w:hAnsiTheme="minorHAnsi"/>
                <w:sz w:val="24"/>
                <w:szCs w:val="24"/>
              </w:rPr>
              <w:t xml:space="preserve">c) </w:t>
            </w:r>
            <w:r w:rsidRPr="009D28EE">
              <w:rPr>
                <w:rFonts w:asciiTheme="minorHAnsi" w:hAnsiTheme="minorHAnsi"/>
                <w:sz w:val="24"/>
                <w:szCs w:val="24"/>
              </w:rPr>
              <w:tab/>
              <w:t xml:space="preserve">Žadatel a </w:t>
            </w:r>
            <w:r>
              <w:rPr>
                <w:rFonts w:asciiTheme="minorHAnsi" w:hAnsiTheme="minorHAnsi"/>
                <w:sz w:val="24"/>
                <w:szCs w:val="24"/>
              </w:rPr>
              <w:t>registrovaná služba zařazena do</w:t>
            </w:r>
          </w:p>
          <w:p w14:paraId="19ADCBA4" w14:textId="4701D8DA" w:rsidR="007930F4" w:rsidRPr="00613BEE" w:rsidRDefault="00A75C74" w:rsidP="00613BEE">
            <w:pPr>
              <w:pStyle w:val="Bezmezer"/>
              <w:ind w:firstLine="284"/>
              <w:rPr>
                <w:rFonts w:asciiTheme="minorHAnsi" w:hAnsiTheme="minorHAnsi" w:cstheme="minorBidi"/>
                <w:sz w:val="24"/>
                <w:szCs w:val="24"/>
                <w:lang w:eastAsia="en-US"/>
              </w:rPr>
            </w:pPr>
            <w:r w:rsidRPr="009D28EE">
              <w:rPr>
                <w:rFonts w:asciiTheme="minorHAnsi" w:hAnsiTheme="minorHAnsi"/>
                <w:sz w:val="24"/>
                <w:szCs w:val="24"/>
              </w:rPr>
              <w:t>Základní sítě</w:t>
            </w:r>
          </w:p>
        </w:tc>
        <w:tc>
          <w:tcPr>
            <w:tcW w:w="1701" w:type="dxa"/>
            <w:vAlign w:val="center"/>
          </w:tcPr>
          <w:p w14:paraId="3B6A0C80" w14:textId="77777777" w:rsidR="007930F4" w:rsidRPr="009654D2" w:rsidRDefault="007930F4" w:rsidP="00613BEE">
            <w:pPr>
              <w:ind w:left="397" w:hanging="397"/>
              <w:jc w:val="center"/>
              <w:rPr>
                <w:rFonts w:asciiTheme="minorHAnsi" w:eastAsia="Times New Roman" w:hAnsiTheme="minorHAnsi"/>
                <w:sz w:val="24"/>
                <w:szCs w:val="24"/>
              </w:rPr>
            </w:pPr>
            <w:r w:rsidRPr="009654D2">
              <w:rPr>
                <w:rFonts w:asciiTheme="minorHAnsi" w:eastAsia="Times New Roman" w:hAnsiTheme="minorHAnsi"/>
                <w:sz w:val="24"/>
                <w:szCs w:val="24"/>
              </w:rPr>
              <w:t>ověřeno</w:t>
            </w:r>
          </w:p>
        </w:tc>
        <w:tc>
          <w:tcPr>
            <w:tcW w:w="2428" w:type="dxa"/>
            <w:vAlign w:val="center"/>
          </w:tcPr>
          <w:p w14:paraId="6E6E4DA2" w14:textId="77777777" w:rsidR="007930F4" w:rsidRPr="009654D2" w:rsidRDefault="007930F4" w:rsidP="00613BEE">
            <w:pPr>
              <w:ind w:left="397" w:hanging="397"/>
              <w:jc w:val="center"/>
              <w:rPr>
                <w:rFonts w:asciiTheme="minorHAnsi" w:eastAsia="Times New Roman" w:hAnsiTheme="minorHAnsi"/>
                <w:sz w:val="24"/>
                <w:szCs w:val="24"/>
              </w:rPr>
            </w:pPr>
            <w:r w:rsidRPr="009654D2">
              <w:rPr>
                <w:rFonts w:asciiTheme="minorHAnsi" w:eastAsia="Times New Roman" w:hAnsiTheme="minorHAnsi"/>
                <w:sz w:val="24"/>
                <w:szCs w:val="24"/>
              </w:rPr>
              <w:t>vyřazen</w:t>
            </w:r>
          </w:p>
        </w:tc>
      </w:tr>
      <w:tr w:rsidR="00457E26" w:rsidRPr="009654D2" w14:paraId="47A3DD19" w14:textId="77777777" w:rsidTr="00613BEE">
        <w:tc>
          <w:tcPr>
            <w:tcW w:w="4937" w:type="dxa"/>
          </w:tcPr>
          <w:p w14:paraId="77D4DB62" w14:textId="77777777" w:rsidR="00A75C74" w:rsidRDefault="00A75C74" w:rsidP="00A75C74">
            <w:pPr>
              <w:pStyle w:val="Bezmezer"/>
              <w:rPr>
                <w:rFonts w:asciiTheme="minorHAnsi" w:hAnsiTheme="minorHAnsi"/>
                <w:sz w:val="24"/>
                <w:szCs w:val="24"/>
              </w:rPr>
            </w:pPr>
            <w:r w:rsidRPr="008C6CBF">
              <w:rPr>
                <w:rFonts w:asciiTheme="minorHAnsi" w:hAnsiTheme="minorHAnsi"/>
                <w:sz w:val="24"/>
                <w:szCs w:val="24"/>
              </w:rPr>
              <w:t>d)</w:t>
            </w:r>
            <w:r w:rsidRPr="008C6CBF">
              <w:rPr>
                <w:rFonts w:asciiTheme="minorHAnsi" w:hAnsiTheme="minorHAnsi"/>
                <w:sz w:val="24"/>
                <w:szCs w:val="24"/>
              </w:rPr>
              <w:tab/>
              <w:t>Žadatel má s</w:t>
            </w:r>
            <w:r>
              <w:rPr>
                <w:rFonts w:asciiTheme="minorHAnsi" w:hAnsiTheme="minorHAnsi"/>
                <w:sz w:val="24"/>
                <w:szCs w:val="24"/>
              </w:rPr>
              <w:t>chváleno pověření k poskytování</w:t>
            </w:r>
          </w:p>
          <w:p w14:paraId="15273B64" w14:textId="026DE65E" w:rsidR="00BE49EF" w:rsidRPr="00613BEE" w:rsidRDefault="00A75C74" w:rsidP="00613BEE">
            <w:pPr>
              <w:pStyle w:val="Bezmezer"/>
              <w:ind w:firstLine="284"/>
              <w:rPr>
                <w:rFonts w:asciiTheme="minorHAnsi" w:hAnsiTheme="minorHAnsi" w:cstheme="minorBidi"/>
                <w:sz w:val="24"/>
                <w:szCs w:val="24"/>
                <w:lang w:eastAsia="en-US"/>
              </w:rPr>
            </w:pPr>
            <w:r w:rsidRPr="008C6CBF">
              <w:rPr>
                <w:rFonts w:asciiTheme="minorHAnsi" w:hAnsiTheme="minorHAnsi"/>
                <w:sz w:val="24"/>
                <w:szCs w:val="24"/>
              </w:rPr>
              <w:t>služby obecného hospodářského zájmu</w:t>
            </w:r>
          </w:p>
        </w:tc>
        <w:tc>
          <w:tcPr>
            <w:tcW w:w="1701" w:type="dxa"/>
            <w:vAlign w:val="center"/>
          </w:tcPr>
          <w:p w14:paraId="1D1E1BBC" w14:textId="2682F754" w:rsidR="00BE49EF" w:rsidRPr="009654D2" w:rsidRDefault="00BE49EF" w:rsidP="00613BEE">
            <w:pPr>
              <w:ind w:left="397" w:hanging="397"/>
              <w:jc w:val="center"/>
              <w:rPr>
                <w:rFonts w:asciiTheme="minorHAnsi" w:eastAsia="Times New Roman" w:hAnsiTheme="minorHAnsi"/>
                <w:sz w:val="24"/>
                <w:szCs w:val="24"/>
              </w:rPr>
            </w:pPr>
            <w:r w:rsidRPr="009654D2">
              <w:rPr>
                <w:rFonts w:asciiTheme="minorHAnsi" w:eastAsia="Times New Roman" w:hAnsiTheme="minorHAnsi"/>
                <w:sz w:val="24"/>
                <w:szCs w:val="24"/>
              </w:rPr>
              <w:t>ověřeno</w:t>
            </w:r>
          </w:p>
        </w:tc>
        <w:tc>
          <w:tcPr>
            <w:tcW w:w="2428" w:type="dxa"/>
            <w:vAlign w:val="center"/>
          </w:tcPr>
          <w:p w14:paraId="271ABBD0" w14:textId="09571EB2" w:rsidR="00BE49EF" w:rsidRPr="009654D2" w:rsidRDefault="00BE49EF" w:rsidP="00613BEE">
            <w:pPr>
              <w:ind w:left="397" w:hanging="397"/>
              <w:jc w:val="center"/>
              <w:rPr>
                <w:rFonts w:asciiTheme="minorHAnsi" w:eastAsia="Times New Roman" w:hAnsiTheme="minorHAnsi"/>
                <w:sz w:val="24"/>
                <w:szCs w:val="24"/>
              </w:rPr>
            </w:pPr>
            <w:r w:rsidRPr="009654D2">
              <w:rPr>
                <w:rFonts w:asciiTheme="minorHAnsi" w:eastAsia="Times New Roman" w:hAnsiTheme="minorHAnsi"/>
                <w:sz w:val="24"/>
                <w:szCs w:val="24"/>
              </w:rPr>
              <w:t>vyřazen</w:t>
            </w:r>
          </w:p>
        </w:tc>
      </w:tr>
    </w:tbl>
    <w:p w14:paraId="49901A31" w14:textId="77777777" w:rsidR="00457E26" w:rsidRDefault="00457E26"/>
    <w:p w14:paraId="02829B38" w14:textId="77777777" w:rsidR="00457E26" w:rsidRDefault="00457E26" w:rsidP="00613BEE">
      <w:pPr>
        <w:pStyle w:val="Zkladntextodsazen3"/>
        <w:spacing w:before="240" w:after="120" w:line="320" w:lineRule="exact"/>
        <w:ind w:left="397" w:hanging="397"/>
        <w:rPr>
          <w:rFonts w:asciiTheme="minorHAnsi" w:hAnsiTheme="minorHAnsi"/>
        </w:rPr>
      </w:pPr>
    </w:p>
    <w:p w14:paraId="5530445B" w14:textId="4D2B4C76" w:rsidR="00017134" w:rsidRPr="00613BEE" w:rsidRDefault="00017134" w:rsidP="00613BEE">
      <w:pPr>
        <w:pStyle w:val="Bezmezer"/>
        <w:jc w:val="both"/>
        <w:rPr>
          <w:rFonts w:asciiTheme="minorHAnsi" w:hAnsiTheme="minorHAnsi"/>
        </w:rPr>
      </w:pPr>
      <w:r w:rsidRPr="00613BEE">
        <w:rPr>
          <w:rFonts w:asciiTheme="minorHAnsi" w:hAnsiTheme="minorHAnsi"/>
          <w:sz w:val="24"/>
          <w:szCs w:val="24"/>
        </w:rPr>
        <w:lastRenderedPageBreak/>
        <w:t>Žádosti, které nesplní podmínky a) a b) nemohou být předmětem hodnocení a budou vyřazeny.</w:t>
      </w:r>
    </w:p>
    <w:p w14:paraId="4B9C2670" w14:textId="11211A12" w:rsidR="00457E26" w:rsidRDefault="00017134" w:rsidP="00613BEE">
      <w:pPr>
        <w:pStyle w:val="Zkladntextodsazen3"/>
        <w:spacing w:before="240" w:after="120" w:line="320" w:lineRule="exact"/>
        <w:ind w:left="397" w:hanging="397"/>
        <w:rPr>
          <w:rFonts w:asciiTheme="minorHAnsi" w:hAnsiTheme="minorHAnsi"/>
          <w:b/>
          <w:u w:val="single"/>
        </w:rPr>
      </w:pPr>
      <w:r>
        <w:rPr>
          <w:rFonts w:asciiTheme="minorHAnsi" w:hAnsiTheme="minorHAnsi"/>
          <w:b/>
          <w:u w:val="single"/>
        </w:rPr>
        <w:t>c)</w:t>
      </w:r>
      <w:r w:rsidR="00457E26">
        <w:rPr>
          <w:rFonts w:asciiTheme="minorHAnsi" w:hAnsiTheme="minorHAnsi"/>
          <w:b/>
          <w:u w:val="single"/>
        </w:rPr>
        <w:tab/>
      </w:r>
      <w:r w:rsidR="00922DB0" w:rsidRPr="00C809A8">
        <w:rPr>
          <w:rFonts w:asciiTheme="minorHAnsi" w:hAnsiTheme="minorHAnsi"/>
          <w:b/>
          <w:u w:val="single"/>
        </w:rPr>
        <w:t>Kritéria hodnocení Žádosti</w:t>
      </w:r>
    </w:p>
    <w:p w14:paraId="242A329D" w14:textId="3DF1EECB" w:rsidR="000B7CA4" w:rsidRPr="00613BEE" w:rsidRDefault="00D97E46" w:rsidP="00613BEE">
      <w:pPr>
        <w:pStyle w:val="Bezmezer"/>
        <w:ind w:left="397"/>
        <w:rPr>
          <w:rFonts w:asciiTheme="minorHAnsi" w:hAnsiTheme="minorHAnsi"/>
        </w:rPr>
      </w:pPr>
      <w:r w:rsidRPr="00613BEE">
        <w:rPr>
          <w:rFonts w:asciiTheme="minorHAnsi" w:hAnsiTheme="minorHAnsi"/>
          <w:sz w:val="24"/>
          <w:szCs w:val="24"/>
        </w:rPr>
        <w:t xml:space="preserve">Odbor MHMP </w:t>
      </w:r>
      <w:r w:rsidR="000B7CA4" w:rsidRPr="00613BEE">
        <w:rPr>
          <w:rFonts w:asciiTheme="minorHAnsi" w:hAnsiTheme="minorHAnsi"/>
          <w:sz w:val="24"/>
          <w:szCs w:val="24"/>
        </w:rPr>
        <w:t>provede obsahové vyhodnocení Žádosti dle následujících kritérií</w:t>
      </w:r>
      <w:r w:rsidR="00EE3CDD" w:rsidRPr="00613BEE">
        <w:rPr>
          <w:rFonts w:asciiTheme="minorHAnsi" w:hAnsiTheme="minorHAnsi"/>
          <w:sz w:val="24"/>
          <w:szCs w:val="24"/>
        </w:rPr>
        <w:t>:</w:t>
      </w:r>
    </w:p>
    <w:p w14:paraId="7D41F191" w14:textId="77777777" w:rsidR="00457E26" w:rsidRDefault="00457E26" w:rsidP="00613BEE">
      <w:pPr>
        <w:pStyle w:val="Bezmezer"/>
      </w:pPr>
    </w:p>
    <w:p w14:paraId="552CA39D" w14:textId="3004BA01" w:rsidR="00D97E46" w:rsidRPr="00C809A8" w:rsidRDefault="009E2B07" w:rsidP="00D97E46">
      <w:pPr>
        <w:rPr>
          <w:rFonts w:eastAsia="Times New Roman" w:cs="Times New Roman"/>
          <w:b/>
          <w:sz w:val="24"/>
          <w:szCs w:val="24"/>
          <w:lang w:eastAsia="cs-CZ"/>
        </w:rPr>
      </w:pPr>
      <w:r w:rsidRPr="00C809A8">
        <w:rPr>
          <w:rFonts w:eastAsia="Times New Roman" w:cs="Times New Roman"/>
          <w:b/>
          <w:sz w:val="24"/>
          <w:szCs w:val="24"/>
          <w:lang w:eastAsia="cs-CZ"/>
        </w:rPr>
        <w:t>Základní hodnocení Žádosti</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2"/>
        <w:gridCol w:w="1707"/>
        <w:gridCol w:w="2422"/>
      </w:tblGrid>
      <w:tr w:rsidR="00D97E46" w:rsidRPr="00EE3CDD" w14:paraId="30A505A2" w14:textId="77777777" w:rsidTr="00613BEE">
        <w:trPr>
          <w:trHeight w:val="204"/>
        </w:trPr>
        <w:tc>
          <w:tcPr>
            <w:tcW w:w="4942" w:type="dxa"/>
            <w:vAlign w:val="center"/>
          </w:tcPr>
          <w:p w14:paraId="2C8D9EC5" w14:textId="77777777" w:rsidR="00D97E46" w:rsidRPr="00C809A8" w:rsidRDefault="00D97E46" w:rsidP="00553C49">
            <w:pPr>
              <w:rPr>
                <w:rFonts w:eastAsia="Times New Roman" w:cs="Times New Roman"/>
                <w:sz w:val="24"/>
                <w:szCs w:val="24"/>
                <w:lang w:eastAsia="cs-CZ"/>
              </w:rPr>
            </w:pPr>
          </w:p>
        </w:tc>
        <w:tc>
          <w:tcPr>
            <w:tcW w:w="1707" w:type="dxa"/>
          </w:tcPr>
          <w:p w14:paraId="5010B226" w14:textId="77777777" w:rsidR="00D97E46" w:rsidRPr="00C809A8" w:rsidRDefault="00D97E46" w:rsidP="00796A81">
            <w:pPr>
              <w:jc w:val="center"/>
              <w:rPr>
                <w:rFonts w:eastAsia="Times New Roman" w:cs="Times New Roman"/>
                <w:b/>
                <w:sz w:val="24"/>
                <w:szCs w:val="24"/>
                <w:lang w:eastAsia="cs-CZ"/>
              </w:rPr>
            </w:pPr>
            <w:r w:rsidRPr="00C809A8">
              <w:rPr>
                <w:rFonts w:eastAsia="Times New Roman" w:cs="Times New Roman"/>
                <w:b/>
                <w:sz w:val="24"/>
                <w:szCs w:val="24"/>
                <w:lang w:eastAsia="cs-CZ"/>
              </w:rPr>
              <w:t>Splněno</w:t>
            </w:r>
          </w:p>
        </w:tc>
        <w:tc>
          <w:tcPr>
            <w:tcW w:w="2422" w:type="dxa"/>
            <w:vAlign w:val="center"/>
          </w:tcPr>
          <w:p w14:paraId="2B8F39B1" w14:textId="36852813" w:rsidR="00D97E46" w:rsidRPr="00C809A8" w:rsidRDefault="009E2B07" w:rsidP="00796A81">
            <w:pPr>
              <w:jc w:val="center"/>
              <w:rPr>
                <w:rFonts w:eastAsia="Times New Roman" w:cs="Times New Roman"/>
                <w:b/>
                <w:sz w:val="24"/>
                <w:szCs w:val="24"/>
                <w:lang w:eastAsia="cs-CZ"/>
              </w:rPr>
            </w:pPr>
            <w:r w:rsidRPr="00C809A8">
              <w:rPr>
                <w:rFonts w:eastAsia="Times New Roman" w:cs="Times New Roman"/>
                <w:b/>
                <w:sz w:val="24"/>
                <w:szCs w:val="24"/>
                <w:lang w:eastAsia="cs-CZ"/>
              </w:rPr>
              <w:t>Nesplněno</w:t>
            </w:r>
            <w:r w:rsidR="00457E26">
              <w:rPr>
                <w:rFonts w:eastAsia="Times New Roman" w:cs="Times New Roman"/>
                <w:b/>
                <w:sz w:val="24"/>
                <w:szCs w:val="24"/>
                <w:lang w:eastAsia="cs-CZ"/>
              </w:rPr>
              <w:t xml:space="preserve"> </w:t>
            </w:r>
            <w:r w:rsidR="00D97E46" w:rsidRPr="00C809A8">
              <w:rPr>
                <w:rFonts w:eastAsia="Times New Roman" w:cs="Times New Roman"/>
                <w:b/>
                <w:sz w:val="24"/>
                <w:szCs w:val="24"/>
                <w:lang w:eastAsia="cs-CZ"/>
              </w:rPr>
              <w:t>/</w:t>
            </w:r>
            <w:r w:rsidR="00457E26">
              <w:rPr>
                <w:rFonts w:eastAsia="Times New Roman" w:cs="Times New Roman"/>
                <w:b/>
                <w:sz w:val="24"/>
                <w:szCs w:val="24"/>
                <w:lang w:eastAsia="cs-CZ"/>
              </w:rPr>
              <w:t xml:space="preserve"> </w:t>
            </w:r>
            <w:r w:rsidR="00D97E46" w:rsidRPr="00C809A8">
              <w:rPr>
                <w:rFonts w:eastAsia="Times New Roman" w:cs="Times New Roman"/>
                <w:b/>
                <w:sz w:val="24"/>
                <w:szCs w:val="24"/>
                <w:lang w:eastAsia="cs-CZ"/>
              </w:rPr>
              <w:t>kráceno</w:t>
            </w:r>
          </w:p>
        </w:tc>
      </w:tr>
      <w:tr w:rsidR="00D97E46" w:rsidRPr="00EE3CDD" w14:paraId="3F65011F" w14:textId="77777777" w:rsidTr="00613BEE">
        <w:trPr>
          <w:trHeight w:val="315"/>
        </w:trPr>
        <w:tc>
          <w:tcPr>
            <w:tcW w:w="4942" w:type="dxa"/>
          </w:tcPr>
          <w:p w14:paraId="330BF8DD" w14:textId="37CBDAC7" w:rsidR="00D97E46" w:rsidRPr="00613BEE" w:rsidRDefault="00457E26" w:rsidP="00613BEE">
            <w:pPr>
              <w:pStyle w:val="Bezmezer"/>
              <w:ind w:left="397" w:hanging="397"/>
              <w:rPr>
                <w:sz w:val="24"/>
                <w:szCs w:val="24"/>
              </w:rPr>
            </w:pPr>
            <w:r w:rsidRPr="00D02099">
              <w:rPr>
                <w:rFonts w:asciiTheme="minorHAnsi" w:hAnsiTheme="minorHAnsi"/>
                <w:sz w:val="24"/>
                <w:szCs w:val="24"/>
              </w:rPr>
              <w:t>a)</w:t>
            </w:r>
            <w:r w:rsidRPr="00D02099">
              <w:rPr>
                <w:rFonts w:asciiTheme="minorHAnsi" w:hAnsiTheme="minorHAnsi"/>
                <w:sz w:val="24"/>
                <w:szCs w:val="24"/>
              </w:rPr>
              <w:tab/>
              <w:t>zajištění úvazku pracovníka v přímé péči</w:t>
            </w:r>
          </w:p>
        </w:tc>
        <w:tc>
          <w:tcPr>
            <w:tcW w:w="1707" w:type="dxa"/>
          </w:tcPr>
          <w:p w14:paraId="6D571225" w14:textId="77777777" w:rsidR="00D97E46" w:rsidRPr="00C809A8" w:rsidRDefault="00D97E46" w:rsidP="00613BEE">
            <w:pPr>
              <w:pStyle w:val="Bezmezer"/>
            </w:pPr>
          </w:p>
        </w:tc>
        <w:tc>
          <w:tcPr>
            <w:tcW w:w="2422" w:type="dxa"/>
            <w:vAlign w:val="center"/>
          </w:tcPr>
          <w:p w14:paraId="406009CE" w14:textId="77777777" w:rsidR="00D97E46" w:rsidRPr="00C809A8" w:rsidRDefault="00D97E46" w:rsidP="00613BEE">
            <w:pPr>
              <w:pStyle w:val="Bezmezer"/>
            </w:pPr>
          </w:p>
        </w:tc>
      </w:tr>
      <w:tr w:rsidR="00D97E46" w:rsidRPr="00EE3CDD" w14:paraId="78DEB6E8" w14:textId="77777777" w:rsidTr="00613BEE">
        <w:trPr>
          <w:trHeight w:val="315"/>
        </w:trPr>
        <w:tc>
          <w:tcPr>
            <w:tcW w:w="4942" w:type="dxa"/>
          </w:tcPr>
          <w:p w14:paraId="20E8E193" w14:textId="422F0623" w:rsidR="00D97E46" w:rsidRPr="00613BEE" w:rsidRDefault="00457E26" w:rsidP="00613BEE">
            <w:pPr>
              <w:pStyle w:val="Bezmezer"/>
              <w:ind w:left="397" w:hanging="397"/>
              <w:rPr>
                <w:sz w:val="24"/>
                <w:szCs w:val="24"/>
              </w:rPr>
            </w:pPr>
            <w:r w:rsidRPr="007C1334">
              <w:rPr>
                <w:rFonts w:asciiTheme="minorHAnsi" w:hAnsiTheme="minorHAnsi"/>
                <w:sz w:val="24"/>
                <w:szCs w:val="24"/>
              </w:rPr>
              <w:t>b)</w:t>
            </w:r>
            <w:r w:rsidRPr="007C1334">
              <w:rPr>
                <w:rFonts w:asciiTheme="minorHAnsi" w:hAnsiTheme="minorHAnsi"/>
                <w:sz w:val="24"/>
                <w:szCs w:val="24"/>
              </w:rPr>
              <w:tab/>
              <w:t>dodržení poměrů přímé a nepřímé péče</w:t>
            </w:r>
          </w:p>
        </w:tc>
        <w:tc>
          <w:tcPr>
            <w:tcW w:w="1707" w:type="dxa"/>
          </w:tcPr>
          <w:p w14:paraId="212279AE" w14:textId="77777777" w:rsidR="00D97E46" w:rsidRPr="00C809A8" w:rsidRDefault="00D97E46" w:rsidP="00613BEE">
            <w:pPr>
              <w:pStyle w:val="Bezmezer"/>
            </w:pPr>
          </w:p>
        </w:tc>
        <w:tc>
          <w:tcPr>
            <w:tcW w:w="2422" w:type="dxa"/>
            <w:vAlign w:val="center"/>
          </w:tcPr>
          <w:p w14:paraId="42A2C14E" w14:textId="77777777" w:rsidR="00D97E46" w:rsidRPr="00C809A8" w:rsidRDefault="00D97E46" w:rsidP="00613BEE">
            <w:pPr>
              <w:pStyle w:val="Bezmezer"/>
            </w:pPr>
          </w:p>
        </w:tc>
      </w:tr>
      <w:tr w:rsidR="00D97E46" w:rsidRPr="00EE3CDD" w14:paraId="076E90EE" w14:textId="77777777" w:rsidTr="00613BEE">
        <w:trPr>
          <w:trHeight w:val="315"/>
        </w:trPr>
        <w:tc>
          <w:tcPr>
            <w:tcW w:w="4942" w:type="dxa"/>
          </w:tcPr>
          <w:p w14:paraId="20DB2F3D" w14:textId="77777777" w:rsidR="00457E26" w:rsidRPr="00190A87" w:rsidRDefault="00457E26" w:rsidP="00457E26">
            <w:pPr>
              <w:pStyle w:val="Bezmezer"/>
              <w:ind w:left="397" w:hanging="397"/>
              <w:rPr>
                <w:rFonts w:asciiTheme="minorHAnsi" w:hAnsiTheme="minorHAnsi"/>
                <w:sz w:val="24"/>
                <w:szCs w:val="24"/>
              </w:rPr>
            </w:pPr>
            <w:r w:rsidRPr="00190A87">
              <w:rPr>
                <w:rFonts w:asciiTheme="minorHAnsi" w:hAnsiTheme="minorHAnsi"/>
                <w:sz w:val="24"/>
                <w:szCs w:val="24"/>
              </w:rPr>
              <w:t>c)</w:t>
            </w:r>
            <w:r w:rsidRPr="00190A87">
              <w:rPr>
                <w:rFonts w:asciiTheme="minorHAnsi" w:hAnsiTheme="minorHAnsi"/>
                <w:sz w:val="24"/>
                <w:szCs w:val="24"/>
              </w:rPr>
              <w:tab/>
              <w:t>požadavek na dotaci nepřevyšuje maximální výše cenových hladin zapojených služeb</w:t>
            </w:r>
          </w:p>
          <w:p w14:paraId="131BDFDD" w14:textId="4AAC8F97" w:rsidR="00D97E46" w:rsidRPr="00C809A8" w:rsidRDefault="00D97E46" w:rsidP="00553C49">
            <w:pPr>
              <w:rPr>
                <w:rFonts w:eastAsia="Times New Roman" w:cs="Times New Roman"/>
                <w:sz w:val="24"/>
                <w:szCs w:val="24"/>
                <w:lang w:eastAsia="cs-CZ"/>
              </w:rPr>
            </w:pPr>
          </w:p>
        </w:tc>
        <w:tc>
          <w:tcPr>
            <w:tcW w:w="1707" w:type="dxa"/>
          </w:tcPr>
          <w:p w14:paraId="2F67E53F" w14:textId="77777777" w:rsidR="00D97E46" w:rsidRPr="00C809A8" w:rsidRDefault="00D97E46" w:rsidP="00553C49">
            <w:pPr>
              <w:rPr>
                <w:rFonts w:eastAsia="Times New Roman" w:cs="Times New Roman"/>
                <w:sz w:val="24"/>
                <w:szCs w:val="24"/>
                <w:lang w:eastAsia="cs-CZ"/>
              </w:rPr>
            </w:pPr>
          </w:p>
        </w:tc>
        <w:tc>
          <w:tcPr>
            <w:tcW w:w="2422" w:type="dxa"/>
            <w:vAlign w:val="center"/>
          </w:tcPr>
          <w:p w14:paraId="3FD2720F" w14:textId="2D50677B" w:rsidR="00D97E46" w:rsidRPr="00613BEE" w:rsidRDefault="00EF60F3" w:rsidP="00613BEE">
            <w:pPr>
              <w:pStyle w:val="Bezmezer"/>
              <w:rPr>
                <w:sz w:val="24"/>
                <w:szCs w:val="24"/>
              </w:rPr>
            </w:pPr>
            <w:r w:rsidRPr="00613BEE">
              <w:rPr>
                <w:rFonts w:asciiTheme="minorHAnsi" w:hAnsiTheme="minorHAnsi"/>
                <w:sz w:val="24"/>
                <w:szCs w:val="24"/>
              </w:rPr>
              <w:t>V případě pře</w:t>
            </w:r>
            <w:r w:rsidR="007E25EC" w:rsidRPr="00613BEE">
              <w:rPr>
                <w:rFonts w:asciiTheme="minorHAnsi" w:hAnsiTheme="minorHAnsi"/>
                <w:sz w:val="24"/>
                <w:szCs w:val="24"/>
              </w:rPr>
              <w:t xml:space="preserve">kročení </w:t>
            </w:r>
            <w:r w:rsidRPr="00613BEE">
              <w:rPr>
                <w:rFonts w:asciiTheme="minorHAnsi" w:hAnsiTheme="minorHAnsi"/>
                <w:sz w:val="24"/>
                <w:szCs w:val="24"/>
              </w:rPr>
              <w:t>požadavku přistoupí Odbor MHMP ke krácení</w:t>
            </w:r>
            <w:r w:rsidR="007E25EC" w:rsidRPr="00613BEE">
              <w:rPr>
                <w:rFonts w:asciiTheme="minorHAnsi" w:hAnsiTheme="minorHAnsi"/>
                <w:sz w:val="24"/>
                <w:szCs w:val="24"/>
              </w:rPr>
              <w:t xml:space="preserve"> dotace</w:t>
            </w:r>
            <w:r w:rsidRPr="00613BEE">
              <w:rPr>
                <w:rFonts w:asciiTheme="minorHAnsi" w:hAnsiTheme="minorHAnsi"/>
                <w:sz w:val="24"/>
                <w:szCs w:val="24"/>
              </w:rPr>
              <w:t xml:space="preserve"> na maximální výpočet veřejné podpory pro danou službu uvedený v příloze č. 1 Dotačního programu projektu.</w:t>
            </w:r>
          </w:p>
        </w:tc>
      </w:tr>
    </w:tbl>
    <w:p w14:paraId="7999FFEE" w14:textId="77777777" w:rsidR="00457E26" w:rsidRPr="00C809A8" w:rsidRDefault="00457E26" w:rsidP="00613BEE">
      <w:pPr>
        <w:pStyle w:val="Bezmezer"/>
      </w:pPr>
    </w:p>
    <w:p w14:paraId="44F7833D" w14:textId="15838D74" w:rsidR="000B7CA4" w:rsidRDefault="000B7CA4" w:rsidP="00613BEE">
      <w:pPr>
        <w:numPr>
          <w:ilvl w:val="0"/>
          <w:numId w:val="58"/>
        </w:numPr>
        <w:spacing w:after="120" w:line="240" w:lineRule="auto"/>
        <w:ind w:left="397" w:hanging="397"/>
        <w:jc w:val="both"/>
        <w:rPr>
          <w:sz w:val="24"/>
          <w:szCs w:val="24"/>
        </w:rPr>
      </w:pPr>
      <w:r w:rsidRPr="00C809A8">
        <w:rPr>
          <w:sz w:val="24"/>
          <w:szCs w:val="24"/>
        </w:rPr>
        <w:t xml:space="preserve">Odbor MHMP s ohledem na provedené hodnocení Žádosti a celkový objem peněžních </w:t>
      </w:r>
      <w:r w:rsidRPr="002E23BD">
        <w:rPr>
          <w:sz w:val="24"/>
          <w:szCs w:val="24"/>
        </w:rPr>
        <w:t>prostředků vyčleněných v rozpočtu HMP navrhne výši Dotace pro Žadatele nebo neposkytnutí Dotace včetně odůvodnění</w:t>
      </w:r>
      <w:r w:rsidR="007930F4" w:rsidRPr="002E23BD">
        <w:rPr>
          <w:sz w:val="24"/>
          <w:szCs w:val="24"/>
        </w:rPr>
        <w:t xml:space="preserve"> nevyhovění žádosti</w:t>
      </w:r>
      <w:r w:rsidRPr="002E23BD">
        <w:rPr>
          <w:sz w:val="24"/>
          <w:szCs w:val="24"/>
        </w:rPr>
        <w:t>.</w:t>
      </w:r>
    </w:p>
    <w:p w14:paraId="6672955F" w14:textId="73D4FE39" w:rsidR="000B7CA4" w:rsidRPr="002E23BD" w:rsidRDefault="000B7CA4" w:rsidP="00613BEE">
      <w:pPr>
        <w:numPr>
          <w:ilvl w:val="0"/>
          <w:numId w:val="58"/>
        </w:numPr>
        <w:spacing w:after="120" w:line="240" w:lineRule="auto"/>
        <w:ind w:left="397" w:hanging="397"/>
        <w:jc w:val="both"/>
        <w:rPr>
          <w:sz w:val="24"/>
          <w:szCs w:val="24"/>
        </w:rPr>
      </w:pPr>
      <w:r w:rsidRPr="002E23BD">
        <w:rPr>
          <w:sz w:val="24"/>
          <w:szCs w:val="24"/>
        </w:rPr>
        <w:t xml:space="preserve">Odbor MHMP předloží návrh na poskytnutí nebo neposkytnutí Dotace Komisi Rady HMP </w:t>
      </w:r>
      <w:r w:rsidR="00017134" w:rsidRPr="002E23BD">
        <w:rPr>
          <w:sz w:val="24"/>
          <w:szCs w:val="24"/>
        </w:rPr>
        <w:t>pro udělování grantů v oblasti zdravotnictví, sociálních služeb a protidrogové prevence</w:t>
      </w:r>
      <w:r w:rsidRPr="002E23BD">
        <w:rPr>
          <w:sz w:val="24"/>
          <w:szCs w:val="24"/>
        </w:rPr>
        <w:t xml:space="preserve"> (dále jen „Komise“)</w:t>
      </w:r>
      <w:r w:rsidR="009E2B07" w:rsidRPr="002E23BD">
        <w:rPr>
          <w:sz w:val="24"/>
          <w:szCs w:val="24"/>
        </w:rPr>
        <w:t xml:space="preserve"> včetně případného odůvodnění návrhu krácení finančních prostředků vůči Žádosti</w:t>
      </w:r>
      <w:r w:rsidRPr="002E23BD">
        <w:rPr>
          <w:sz w:val="24"/>
          <w:szCs w:val="24"/>
        </w:rPr>
        <w:t xml:space="preserve">, která zaujme stanovisko k návrhu. </w:t>
      </w:r>
    </w:p>
    <w:p w14:paraId="54D95206" w14:textId="1385EAF4" w:rsidR="000B7CA4" w:rsidRPr="002E23BD" w:rsidRDefault="000B7CA4" w:rsidP="00613BEE">
      <w:pPr>
        <w:numPr>
          <w:ilvl w:val="0"/>
          <w:numId w:val="58"/>
        </w:numPr>
        <w:spacing w:after="120" w:line="240" w:lineRule="auto"/>
        <w:ind w:left="397" w:hanging="397"/>
        <w:jc w:val="both"/>
        <w:rPr>
          <w:sz w:val="24"/>
          <w:szCs w:val="24"/>
        </w:rPr>
      </w:pPr>
      <w:r w:rsidRPr="002E23BD">
        <w:rPr>
          <w:sz w:val="24"/>
          <w:szCs w:val="24"/>
        </w:rPr>
        <w:t>Odbor MHMP předloží návrh na poskytnutí nebo neposkytnutí Dotace včetně stanoviska Komise Výboru Zastupitelstva HMP</w:t>
      </w:r>
      <w:r w:rsidR="00C809A8" w:rsidRPr="002E23BD">
        <w:rPr>
          <w:sz w:val="24"/>
          <w:szCs w:val="24"/>
        </w:rPr>
        <w:t xml:space="preserve"> pro sociální politiku</w:t>
      </w:r>
      <w:r w:rsidRPr="002E23BD">
        <w:rPr>
          <w:sz w:val="24"/>
          <w:szCs w:val="24"/>
        </w:rPr>
        <w:t xml:space="preserve"> (dále jen „Výbor“), který zaujme stanovisko k návrhu. </w:t>
      </w:r>
    </w:p>
    <w:p w14:paraId="302C9B54" w14:textId="590D7A5B" w:rsidR="000B7CA4" w:rsidRPr="002E23BD" w:rsidRDefault="000B7CA4" w:rsidP="00613BEE">
      <w:pPr>
        <w:numPr>
          <w:ilvl w:val="0"/>
          <w:numId w:val="58"/>
        </w:numPr>
        <w:spacing w:after="120" w:line="240" w:lineRule="auto"/>
        <w:ind w:left="397" w:hanging="397"/>
        <w:jc w:val="both"/>
        <w:rPr>
          <w:sz w:val="24"/>
          <w:szCs w:val="24"/>
        </w:rPr>
      </w:pPr>
      <w:r w:rsidRPr="002E23BD">
        <w:rPr>
          <w:sz w:val="24"/>
          <w:szCs w:val="24"/>
        </w:rPr>
        <w:t>Odbor MHMP následně předloží návrh na rozhodnutí o poskytnutí nebo neposkytnutí Dotace včetně stanoviska Komise a Výboru příslušnému orgánu HMP k rozhodnutí. V</w:t>
      </w:r>
      <w:r w:rsidR="00A75C74">
        <w:rPr>
          <w:sz w:val="24"/>
          <w:szCs w:val="24"/>
        </w:rPr>
        <w:t> </w:t>
      </w:r>
      <w:r w:rsidRPr="002E23BD">
        <w:rPr>
          <w:sz w:val="24"/>
          <w:szCs w:val="24"/>
        </w:rPr>
        <w:t xml:space="preserve">případě, že Výbor nezaujme stanovisko k návrhu do 30 dnů od předložení návrhu, překládá Odbor MHMP návrh bez stanoviska Výboru. </w:t>
      </w:r>
    </w:p>
    <w:p w14:paraId="3CF0F55D" w14:textId="77777777" w:rsidR="007D099F" w:rsidRDefault="007D099F" w:rsidP="00613BEE">
      <w:pPr>
        <w:pStyle w:val="Odstavecseseznamem"/>
        <w:numPr>
          <w:ilvl w:val="0"/>
          <w:numId w:val="58"/>
        </w:numPr>
        <w:spacing w:after="120" w:line="240" w:lineRule="auto"/>
        <w:ind w:left="397" w:hanging="397"/>
        <w:contextualSpacing w:val="0"/>
        <w:jc w:val="both"/>
        <w:rPr>
          <w:sz w:val="24"/>
          <w:szCs w:val="24"/>
        </w:rPr>
      </w:pPr>
      <w:r w:rsidRPr="002E23BD">
        <w:rPr>
          <w:sz w:val="24"/>
          <w:szCs w:val="24"/>
        </w:rPr>
        <w:t>Do konečného rozhodnutí o poskytnutí nebo neposkytnutí Dotace nebudou Žadateli poskytovány žádné dílčí informace.</w:t>
      </w:r>
    </w:p>
    <w:p w14:paraId="48EFF312" w14:textId="77777777" w:rsidR="00A75C74" w:rsidRPr="002E23BD" w:rsidRDefault="00A75C74" w:rsidP="00613BEE">
      <w:pPr>
        <w:pStyle w:val="Bezmezer"/>
      </w:pPr>
    </w:p>
    <w:p w14:paraId="755FDDF6" w14:textId="77777777" w:rsidR="00440E3F" w:rsidRPr="00613BEE" w:rsidRDefault="00440E3F" w:rsidP="00613BEE">
      <w:pPr>
        <w:pStyle w:val="Bezmezer"/>
        <w:jc w:val="center"/>
        <w:rPr>
          <w:rFonts w:eastAsiaTheme="majorEastAsia" w:cs="Times New Roman"/>
          <w:b/>
          <w:bCs/>
          <w:color w:val="365F91" w:themeColor="accent1" w:themeShade="BF"/>
          <w:sz w:val="24"/>
          <w:szCs w:val="24"/>
        </w:rPr>
      </w:pPr>
      <w:r w:rsidRPr="00613BEE">
        <w:rPr>
          <w:rFonts w:asciiTheme="minorHAnsi" w:eastAsiaTheme="majorEastAsia" w:hAnsiTheme="minorHAnsi" w:cs="Times New Roman"/>
          <w:b/>
          <w:bCs/>
          <w:color w:val="365F91" w:themeColor="accent1" w:themeShade="BF"/>
          <w:sz w:val="24"/>
          <w:szCs w:val="24"/>
        </w:rPr>
        <w:t>Část VI</w:t>
      </w:r>
      <w:r w:rsidR="00F64EE9" w:rsidRPr="00613BEE">
        <w:rPr>
          <w:rFonts w:asciiTheme="minorHAnsi" w:eastAsiaTheme="majorEastAsia" w:hAnsiTheme="minorHAnsi" w:cs="Times New Roman"/>
          <w:b/>
          <w:bCs/>
          <w:color w:val="365F91" w:themeColor="accent1" w:themeShade="BF"/>
          <w:sz w:val="24"/>
          <w:szCs w:val="24"/>
        </w:rPr>
        <w:t>I</w:t>
      </w:r>
      <w:r w:rsidR="00C27F60" w:rsidRPr="00613BEE">
        <w:rPr>
          <w:rFonts w:asciiTheme="minorHAnsi" w:eastAsiaTheme="majorEastAsia" w:hAnsiTheme="minorHAnsi" w:cs="Times New Roman"/>
          <w:b/>
          <w:bCs/>
          <w:color w:val="365F91" w:themeColor="accent1" w:themeShade="BF"/>
          <w:sz w:val="24"/>
          <w:szCs w:val="24"/>
        </w:rPr>
        <w:t>I</w:t>
      </w:r>
    </w:p>
    <w:p w14:paraId="79D3102A" w14:textId="77777777" w:rsidR="00C27F60" w:rsidRPr="00103AC5" w:rsidRDefault="00C27F60" w:rsidP="00130922">
      <w:pPr>
        <w:keepNext/>
        <w:keepLines/>
        <w:spacing w:after="0" w:line="240" w:lineRule="auto"/>
        <w:ind w:left="714" w:hanging="357"/>
        <w:jc w:val="center"/>
        <w:outlineLvl w:val="0"/>
        <w:rPr>
          <w:rFonts w:ascii="Calibri" w:eastAsiaTheme="majorEastAsia" w:hAnsi="Calibri" w:cs="Times New Roman"/>
          <w:b/>
          <w:bCs/>
          <w:color w:val="365F91" w:themeColor="accent1" w:themeShade="BF"/>
          <w:sz w:val="24"/>
          <w:szCs w:val="24"/>
        </w:rPr>
      </w:pPr>
      <w:r>
        <w:rPr>
          <w:rFonts w:ascii="Calibri" w:eastAsiaTheme="majorEastAsia" w:hAnsi="Calibri" w:cs="Times New Roman"/>
          <w:b/>
          <w:bCs/>
          <w:color w:val="365F91" w:themeColor="accent1" w:themeShade="BF"/>
          <w:sz w:val="24"/>
          <w:szCs w:val="24"/>
        </w:rPr>
        <w:t>Lhůta pro rozhodnutí o Žádosti</w:t>
      </w:r>
    </w:p>
    <w:p w14:paraId="31201E75" w14:textId="77777777" w:rsidR="00440E3F" w:rsidRDefault="00440E3F" w:rsidP="000F0C05">
      <w:pPr>
        <w:keepNext/>
        <w:keepLines/>
        <w:spacing w:after="0" w:line="240" w:lineRule="auto"/>
        <w:ind w:left="714" w:hanging="357"/>
        <w:jc w:val="center"/>
        <w:outlineLvl w:val="0"/>
        <w:rPr>
          <w:rFonts w:ascii="Calibri" w:eastAsiaTheme="majorEastAsia" w:hAnsi="Calibri" w:cs="Times New Roman"/>
          <w:b/>
          <w:bCs/>
          <w:color w:val="365F91" w:themeColor="accent1" w:themeShade="BF"/>
          <w:sz w:val="24"/>
          <w:szCs w:val="24"/>
        </w:rPr>
      </w:pPr>
      <w:r w:rsidRPr="00103AC5">
        <w:rPr>
          <w:rFonts w:ascii="Calibri" w:eastAsiaTheme="majorEastAsia" w:hAnsi="Calibri" w:cs="Times New Roman"/>
          <w:b/>
          <w:bCs/>
          <w:color w:val="365F91" w:themeColor="accent1" w:themeShade="BF"/>
          <w:sz w:val="24"/>
          <w:szCs w:val="24"/>
        </w:rPr>
        <w:t xml:space="preserve">Uzavírání </w:t>
      </w:r>
      <w:r w:rsidR="007D099F">
        <w:rPr>
          <w:rFonts w:ascii="Calibri" w:eastAsiaTheme="majorEastAsia" w:hAnsi="Calibri" w:cs="Times New Roman"/>
          <w:b/>
          <w:bCs/>
          <w:color w:val="365F91" w:themeColor="accent1" w:themeShade="BF"/>
          <w:sz w:val="24"/>
          <w:szCs w:val="24"/>
        </w:rPr>
        <w:t xml:space="preserve">veřejnoprávních </w:t>
      </w:r>
      <w:r w:rsidRPr="00103AC5">
        <w:rPr>
          <w:rFonts w:ascii="Calibri" w:eastAsiaTheme="majorEastAsia" w:hAnsi="Calibri" w:cs="Times New Roman"/>
          <w:b/>
          <w:bCs/>
          <w:color w:val="365F91" w:themeColor="accent1" w:themeShade="BF"/>
          <w:sz w:val="24"/>
          <w:szCs w:val="24"/>
        </w:rPr>
        <w:t>smluv</w:t>
      </w:r>
    </w:p>
    <w:p w14:paraId="225DA606" w14:textId="77777777" w:rsidR="00C27F60" w:rsidRPr="00103AC5" w:rsidRDefault="00C27F60" w:rsidP="000F0C05">
      <w:pPr>
        <w:keepNext/>
        <w:keepLines/>
        <w:spacing w:after="0" w:line="240" w:lineRule="auto"/>
        <w:ind w:left="714" w:hanging="357"/>
        <w:jc w:val="center"/>
        <w:outlineLvl w:val="0"/>
        <w:rPr>
          <w:rFonts w:ascii="Calibri" w:eastAsiaTheme="majorEastAsia" w:hAnsi="Calibri" w:cs="Times New Roman"/>
          <w:b/>
          <w:bCs/>
          <w:color w:val="365F91" w:themeColor="accent1" w:themeShade="BF"/>
          <w:sz w:val="24"/>
          <w:szCs w:val="24"/>
        </w:rPr>
      </w:pPr>
    </w:p>
    <w:p w14:paraId="7DB6E6E7" w14:textId="77777777" w:rsidR="00C27F60" w:rsidRDefault="00C27F60" w:rsidP="00613BEE">
      <w:pPr>
        <w:pStyle w:val="Odstavecseseznamem"/>
        <w:numPr>
          <w:ilvl w:val="0"/>
          <w:numId w:val="56"/>
        </w:numPr>
        <w:spacing w:after="0" w:line="240" w:lineRule="auto"/>
        <w:ind w:left="397" w:hanging="397"/>
        <w:contextualSpacing w:val="0"/>
        <w:jc w:val="both"/>
        <w:rPr>
          <w:sz w:val="24"/>
          <w:szCs w:val="24"/>
        </w:rPr>
      </w:pPr>
      <w:r w:rsidRPr="00C809A8">
        <w:rPr>
          <w:sz w:val="24"/>
          <w:szCs w:val="24"/>
        </w:rPr>
        <w:t xml:space="preserve">O poskytnutí nebo neposkytnutí Dotace rozhodne podle zákona o hlavním městě Praze příslušný orgán HMP, a to nejpozději do </w:t>
      </w:r>
      <w:r w:rsidRPr="00C809A8">
        <w:rPr>
          <w:b/>
          <w:sz w:val="24"/>
          <w:szCs w:val="24"/>
        </w:rPr>
        <w:t>30. 9. 2019</w:t>
      </w:r>
      <w:r w:rsidRPr="00C809A8">
        <w:rPr>
          <w:sz w:val="24"/>
          <w:szCs w:val="24"/>
        </w:rPr>
        <w:t>.</w:t>
      </w:r>
    </w:p>
    <w:p w14:paraId="69E56DC0" w14:textId="77777777" w:rsidR="00EF4239" w:rsidRPr="00C809A8" w:rsidRDefault="00EF4239" w:rsidP="00613BEE">
      <w:pPr>
        <w:pStyle w:val="Odstavecseseznamem"/>
        <w:spacing w:after="0" w:line="240" w:lineRule="auto"/>
        <w:ind w:left="397" w:hanging="397"/>
        <w:contextualSpacing w:val="0"/>
        <w:jc w:val="both"/>
        <w:rPr>
          <w:sz w:val="24"/>
          <w:szCs w:val="24"/>
        </w:rPr>
      </w:pPr>
    </w:p>
    <w:p w14:paraId="6CC52AFE" w14:textId="751BE17A" w:rsidR="00710686" w:rsidRDefault="007D099F" w:rsidP="00613BEE">
      <w:pPr>
        <w:pStyle w:val="Odstavecseseznamem"/>
        <w:numPr>
          <w:ilvl w:val="0"/>
          <w:numId w:val="56"/>
        </w:numPr>
        <w:spacing w:after="0" w:line="240" w:lineRule="auto"/>
        <w:ind w:left="397" w:hanging="397"/>
        <w:contextualSpacing w:val="0"/>
        <w:jc w:val="both"/>
        <w:rPr>
          <w:sz w:val="24"/>
          <w:szCs w:val="24"/>
        </w:rPr>
      </w:pPr>
      <w:r w:rsidRPr="00C809A8">
        <w:rPr>
          <w:sz w:val="24"/>
          <w:szCs w:val="24"/>
        </w:rPr>
        <w:lastRenderedPageBreak/>
        <w:t>Současně s rozhodováním o poskytnutí Dotace bude příslušný orgán HMP rozhodovat o</w:t>
      </w:r>
      <w:r w:rsidR="00A75C74">
        <w:rPr>
          <w:sz w:val="24"/>
          <w:szCs w:val="24"/>
        </w:rPr>
        <w:t> </w:t>
      </w:r>
      <w:r w:rsidRPr="00C809A8">
        <w:rPr>
          <w:sz w:val="24"/>
          <w:szCs w:val="24"/>
        </w:rPr>
        <w:t xml:space="preserve">uzavření veřejnoprávní smlouvy o poskytnutí dotace s Žadatelem (dále jen </w:t>
      </w:r>
      <w:r w:rsidRPr="00C809A8">
        <w:rPr>
          <w:b/>
          <w:sz w:val="24"/>
          <w:szCs w:val="24"/>
        </w:rPr>
        <w:t>„Smlouva“</w:t>
      </w:r>
      <w:r w:rsidRPr="00C809A8">
        <w:rPr>
          <w:sz w:val="24"/>
          <w:szCs w:val="24"/>
        </w:rPr>
        <w:t xml:space="preserve">), případně o realizaci rozpočtového opatření (viz níže). </w:t>
      </w:r>
      <w:r w:rsidR="000C3B80" w:rsidRPr="00C809A8">
        <w:rPr>
          <w:sz w:val="24"/>
          <w:szCs w:val="24"/>
        </w:rPr>
        <w:t xml:space="preserve">Smlouva bude obsahovat podmínky použití </w:t>
      </w:r>
      <w:r w:rsidR="0062094D">
        <w:rPr>
          <w:sz w:val="24"/>
          <w:szCs w:val="24"/>
        </w:rPr>
        <w:t>d</w:t>
      </w:r>
      <w:r w:rsidR="0062094D" w:rsidRPr="00C809A8">
        <w:rPr>
          <w:sz w:val="24"/>
          <w:szCs w:val="24"/>
        </w:rPr>
        <w:t xml:space="preserve">otace </w:t>
      </w:r>
      <w:r w:rsidR="000C3B80" w:rsidRPr="00C809A8">
        <w:rPr>
          <w:sz w:val="24"/>
          <w:szCs w:val="24"/>
        </w:rPr>
        <w:t xml:space="preserve">a podmínky vypořádání </w:t>
      </w:r>
      <w:r w:rsidR="0062094D">
        <w:rPr>
          <w:sz w:val="24"/>
          <w:szCs w:val="24"/>
        </w:rPr>
        <w:t>d</w:t>
      </w:r>
      <w:r w:rsidR="0062094D" w:rsidRPr="00C809A8">
        <w:rPr>
          <w:sz w:val="24"/>
          <w:szCs w:val="24"/>
        </w:rPr>
        <w:t>otace</w:t>
      </w:r>
      <w:r w:rsidR="000C3B80" w:rsidRPr="00C809A8">
        <w:rPr>
          <w:sz w:val="24"/>
          <w:szCs w:val="24"/>
        </w:rPr>
        <w:t>.</w:t>
      </w:r>
    </w:p>
    <w:p w14:paraId="21B05EBB" w14:textId="77777777" w:rsidR="00EF4239" w:rsidRPr="00C809A8" w:rsidRDefault="00EF4239" w:rsidP="00613BEE">
      <w:pPr>
        <w:pStyle w:val="Odstavecseseznamem"/>
        <w:spacing w:after="0" w:line="240" w:lineRule="auto"/>
        <w:ind w:left="397" w:hanging="397"/>
        <w:contextualSpacing w:val="0"/>
        <w:jc w:val="both"/>
        <w:rPr>
          <w:sz w:val="24"/>
          <w:szCs w:val="24"/>
        </w:rPr>
      </w:pPr>
    </w:p>
    <w:p w14:paraId="630F54DF" w14:textId="64665235" w:rsidR="00D700BB" w:rsidRPr="00C809A8" w:rsidRDefault="00D700BB" w:rsidP="00613BEE">
      <w:pPr>
        <w:pStyle w:val="Odstavecseseznamem"/>
        <w:numPr>
          <w:ilvl w:val="0"/>
          <w:numId w:val="56"/>
        </w:numPr>
        <w:spacing w:after="0" w:line="240" w:lineRule="auto"/>
        <w:ind w:left="397" w:hanging="397"/>
        <w:contextualSpacing w:val="0"/>
        <w:jc w:val="both"/>
        <w:rPr>
          <w:sz w:val="24"/>
          <w:szCs w:val="24"/>
        </w:rPr>
      </w:pPr>
      <w:r w:rsidRPr="00C809A8">
        <w:rPr>
          <w:sz w:val="24"/>
          <w:szCs w:val="24"/>
        </w:rPr>
        <w:t xml:space="preserve">Žadateli, jehož Žádosti nebylo vyhověno, bude bez zbytečného odkladu zasláno písemné sdělení o neposkytnutí Dotace včetně důvodu nevyhovění Žádosti. S rozhodnutím příslušného orgánu HMP se může Žadatel seznámit prostřednictvím Odboru MHMP nebo na internetových stránkách HMP </w:t>
      </w:r>
      <w:hyperlink r:id="rId12" w:history="1">
        <w:r w:rsidRPr="00C809A8">
          <w:rPr>
            <w:rStyle w:val="Hypertextovodkaz"/>
            <w:sz w:val="24"/>
            <w:szCs w:val="24"/>
          </w:rPr>
          <w:t>www.praha.eu</w:t>
        </w:r>
      </w:hyperlink>
      <w:r w:rsidRPr="00C809A8">
        <w:rPr>
          <w:sz w:val="24"/>
          <w:szCs w:val="24"/>
        </w:rPr>
        <w:t>, kde budou rozhodnutí veřejně přístupná (v rámci usnesení Rady či Zastupitelstva HMP).</w:t>
      </w:r>
    </w:p>
    <w:p w14:paraId="5E37DFED" w14:textId="77777777" w:rsidR="00D700BB" w:rsidRPr="00C809A8" w:rsidRDefault="00D700BB" w:rsidP="00613BEE">
      <w:pPr>
        <w:pStyle w:val="Odstavecseseznamem"/>
        <w:spacing w:after="0" w:line="240" w:lineRule="auto"/>
        <w:ind w:left="397" w:hanging="397"/>
        <w:contextualSpacing w:val="0"/>
        <w:jc w:val="both"/>
        <w:rPr>
          <w:sz w:val="24"/>
          <w:szCs w:val="24"/>
        </w:rPr>
      </w:pPr>
    </w:p>
    <w:p w14:paraId="20967D09" w14:textId="77777777" w:rsidR="00471D00" w:rsidRPr="00C809A8" w:rsidRDefault="00440E3F" w:rsidP="00613BEE">
      <w:pPr>
        <w:pStyle w:val="Bezmezer"/>
        <w:numPr>
          <w:ilvl w:val="0"/>
          <w:numId w:val="56"/>
        </w:numPr>
        <w:ind w:left="397" w:hanging="397"/>
        <w:jc w:val="both"/>
        <w:rPr>
          <w:rFonts w:asciiTheme="minorHAnsi" w:hAnsiTheme="minorHAnsi"/>
          <w:iCs/>
          <w:sz w:val="24"/>
          <w:szCs w:val="24"/>
        </w:rPr>
      </w:pPr>
      <w:r w:rsidRPr="00C809A8">
        <w:rPr>
          <w:rFonts w:asciiTheme="minorHAnsi" w:hAnsiTheme="minorHAnsi"/>
          <w:sz w:val="24"/>
          <w:szCs w:val="24"/>
        </w:rPr>
        <w:t xml:space="preserve">Po schválení </w:t>
      </w:r>
      <w:r w:rsidR="006E1C2F" w:rsidRPr="00C809A8">
        <w:rPr>
          <w:rFonts w:asciiTheme="minorHAnsi" w:hAnsiTheme="minorHAnsi"/>
          <w:sz w:val="24"/>
          <w:szCs w:val="24"/>
        </w:rPr>
        <w:t xml:space="preserve">uzavření veřejnoprávní smlouvy včetně </w:t>
      </w:r>
      <w:r w:rsidRPr="00C809A8">
        <w:rPr>
          <w:rFonts w:asciiTheme="minorHAnsi" w:hAnsiTheme="minorHAnsi"/>
          <w:sz w:val="24"/>
          <w:szCs w:val="24"/>
        </w:rPr>
        <w:t>výše po</w:t>
      </w:r>
      <w:r w:rsidR="004E44DE" w:rsidRPr="00C809A8">
        <w:rPr>
          <w:rFonts w:asciiTheme="minorHAnsi" w:hAnsiTheme="minorHAnsi"/>
          <w:sz w:val="24"/>
          <w:szCs w:val="24"/>
        </w:rPr>
        <w:t xml:space="preserve">skytnuté dotace </w:t>
      </w:r>
      <w:r w:rsidR="005A1415" w:rsidRPr="00C809A8">
        <w:rPr>
          <w:rFonts w:asciiTheme="minorHAnsi" w:hAnsiTheme="minorHAnsi"/>
          <w:sz w:val="24"/>
          <w:szCs w:val="24"/>
        </w:rPr>
        <w:t>o</w:t>
      </w:r>
      <w:r w:rsidR="004E44DE" w:rsidRPr="00C809A8">
        <w:rPr>
          <w:rFonts w:asciiTheme="minorHAnsi" w:hAnsiTheme="minorHAnsi"/>
          <w:sz w:val="24"/>
          <w:szCs w:val="24"/>
        </w:rPr>
        <w:t xml:space="preserve">rgány </w:t>
      </w:r>
      <w:r w:rsidRPr="00C809A8">
        <w:rPr>
          <w:rFonts w:asciiTheme="minorHAnsi" w:hAnsiTheme="minorHAnsi"/>
          <w:sz w:val="24"/>
          <w:szCs w:val="24"/>
        </w:rPr>
        <w:t>HMP</w:t>
      </w:r>
      <w:r w:rsidR="006E1C2F" w:rsidRPr="00C809A8">
        <w:rPr>
          <w:rFonts w:asciiTheme="minorHAnsi" w:hAnsiTheme="minorHAnsi"/>
          <w:sz w:val="24"/>
          <w:szCs w:val="24"/>
        </w:rPr>
        <w:t xml:space="preserve"> d</w:t>
      </w:r>
      <w:r w:rsidR="006E1C2F" w:rsidRPr="00C809A8">
        <w:rPr>
          <w:rFonts w:asciiTheme="minorHAnsi" w:hAnsiTheme="minorHAnsi" w:cs="Segoe UI"/>
          <w:color w:val="000000"/>
          <w:sz w:val="24"/>
          <w:szCs w:val="24"/>
          <w:lang w:val="en-US"/>
        </w:rPr>
        <w:t xml:space="preserve">le </w:t>
      </w:r>
      <w:r w:rsidR="006E1C2F" w:rsidRPr="00C809A8">
        <w:rPr>
          <w:rFonts w:asciiTheme="minorHAnsi" w:hAnsiTheme="minorHAnsi" w:cs="Segoe UI"/>
          <w:color w:val="000000"/>
          <w:sz w:val="24"/>
          <w:szCs w:val="24"/>
        </w:rPr>
        <w:t>zákona o HMP,</w:t>
      </w:r>
      <w:r w:rsidRPr="00C809A8">
        <w:rPr>
          <w:rFonts w:asciiTheme="minorHAnsi" w:hAnsiTheme="minorHAnsi"/>
          <w:sz w:val="24"/>
          <w:szCs w:val="24"/>
        </w:rPr>
        <w:t xml:space="preserve"> připraví ZSP smlouvu</w:t>
      </w:r>
      <w:r w:rsidR="00C20D5D" w:rsidRPr="00C809A8">
        <w:rPr>
          <w:rFonts w:asciiTheme="minorHAnsi" w:hAnsiTheme="minorHAnsi"/>
          <w:sz w:val="24"/>
          <w:szCs w:val="24"/>
        </w:rPr>
        <w:t>,</w:t>
      </w:r>
      <w:r w:rsidRPr="00C809A8">
        <w:rPr>
          <w:rFonts w:asciiTheme="minorHAnsi" w:hAnsiTheme="minorHAnsi"/>
          <w:sz w:val="24"/>
          <w:szCs w:val="24"/>
        </w:rPr>
        <w:t xml:space="preserve"> kterou předloží k podpisu poskytovateli sociálních služeb, kterému byla dotace přidělena. Následně za HMP smlouvu </w:t>
      </w:r>
      <w:r w:rsidR="001043C1" w:rsidRPr="00C809A8">
        <w:rPr>
          <w:rFonts w:asciiTheme="minorHAnsi" w:hAnsiTheme="minorHAnsi"/>
          <w:sz w:val="24"/>
          <w:szCs w:val="24"/>
        </w:rPr>
        <w:t>podepíše ředitel ZSP</w:t>
      </w:r>
      <w:r w:rsidRPr="00C809A8">
        <w:rPr>
          <w:rFonts w:asciiTheme="minorHAnsi" w:hAnsiTheme="minorHAnsi"/>
          <w:sz w:val="24"/>
          <w:szCs w:val="24"/>
        </w:rPr>
        <w:t>.</w:t>
      </w:r>
      <w:r w:rsidR="00471D00" w:rsidRPr="00C809A8">
        <w:rPr>
          <w:rFonts w:asciiTheme="minorHAnsi" w:hAnsiTheme="minorHAnsi"/>
          <w:sz w:val="24"/>
          <w:szCs w:val="24"/>
        </w:rPr>
        <w:t xml:space="preserve"> Součástí smlouvy bude akcept</w:t>
      </w:r>
      <w:r w:rsidR="00B634CE" w:rsidRPr="00C809A8">
        <w:rPr>
          <w:rFonts w:asciiTheme="minorHAnsi" w:hAnsiTheme="minorHAnsi"/>
          <w:sz w:val="24"/>
          <w:szCs w:val="24"/>
        </w:rPr>
        <w:t xml:space="preserve">ační rozpočet připravený ZSP, </w:t>
      </w:r>
      <w:r w:rsidR="00471D00" w:rsidRPr="00C809A8">
        <w:rPr>
          <w:rFonts w:asciiTheme="minorHAnsi" w:hAnsiTheme="minorHAnsi"/>
          <w:sz w:val="24"/>
          <w:szCs w:val="24"/>
        </w:rPr>
        <w:t>který na jednotlivých položkách bude poměrově odpovídat celkové přidělené dotaci na jednotlivé sociální služby, jednotlivé položky budou zaokrouhlovány na celé koruny.</w:t>
      </w:r>
    </w:p>
    <w:p w14:paraId="4847985D" w14:textId="77777777" w:rsidR="001043C1" w:rsidRPr="00C809A8" w:rsidRDefault="001043C1" w:rsidP="00613BEE">
      <w:pPr>
        <w:pStyle w:val="Bezmezer"/>
        <w:ind w:left="397" w:hanging="397"/>
        <w:rPr>
          <w:sz w:val="24"/>
          <w:szCs w:val="24"/>
        </w:rPr>
      </w:pPr>
    </w:p>
    <w:p w14:paraId="7DACF64E" w14:textId="7A1F853B" w:rsidR="00C03FDA" w:rsidRPr="005A69A2" w:rsidRDefault="00C37D3B" w:rsidP="00613BEE">
      <w:pPr>
        <w:pStyle w:val="Bezmezer"/>
        <w:numPr>
          <w:ilvl w:val="0"/>
          <w:numId w:val="56"/>
        </w:numPr>
        <w:ind w:left="397" w:hanging="397"/>
        <w:jc w:val="both"/>
        <w:rPr>
          <w:rFonts w:ascii="Calibri" w:hAnsi="Calibri"/>
          <w:bCs/>
          <w:sz w:val="24"/>
          <w:szCs w:val="24"/>
        </w:rPr>
      </w:pPr>
      <w:r w:rsidRPr="0062094D">
        <w:rPr>
          <w:rFonts w:ascii="Calibri" w:hAnsi="Calibri"/>
          <w:bCs/>
          <w:sz w:val="24"/>
          <w:szCs w:val="24"/>
        </w:rPr>
        <w:t xml:space="preserve">Smlouva </w:t>
      </w:r>
      <w:r w:rsidRPr="0062094D">
        <w:rPr>
          <w:rFonts w:ascii="Calibri" w:hAnsi="Calibri"/>
          <w:sz w:val="24"/>
          <w:szCs w:val="24"/>
        </w:rPr>
        <w:t>bude obsahovat p</w:t>
      </w:r>
      <w:r w:rsidR="00C03FDA" w:rsidRPr="000A409A">
        <w:rPr>
          <w:rFonts w:ascii="Calibri" w:hAnsi="Calibri"/>
          <w:sz w:val="24"/>
          <w:szCs w:val="24"/>
        </w:rPr>
        <w:t xml:space="preserve">opis </w:t>
      </w:r>
      <w:r w:rsidR="00C03FDA" w:rsidRPr="000A409A">
        <w:rPr>
          <w:rFonts w:ascii="Calibri" w:hAnsi="Calibri"/>
          <w:bCs/>
          <w:sz w:val="24"/>
          <w:szCs w:val="24"/>
        </w:rPr>
        <w:t>opatření k zamezení a vrácení nadměrné vyrovnávací platby</w:t>
      </w:r>
      <w:r w:rsidRPr="005A69A2">
        <w:rPr>
          <w:rFonts w:ascii="Calibri" w:hAnsi="Calibri"/>
          <w:bCs/>
          <w:sz w:val="24"/>
          <w:szCs w:val="24"/>
        </w:rPr>
        <w:t xml:space="preserve">. </w:t>
      </w:r>
      <w:r w:rsidR="00C03FDA" w:rsidRPr="005A69A2">
        <w:rPr>
          <w:rFonts w:ascii="Calibri" w:hAnsi="Calibri"/>
          <w:bCs/>
          <w:sz w:val="24"/>
          <w:szCs w:val="24"/>
        </w:rPr>
        <w:t xml:space="preserve"> </w:t>
      </w:r>
    </w:p>
    <w:p w14:paraId="58B2D50D" w14:textId="136A617B" w:rsidR="00440E3F" w:rsidRPr="00C809A8" w:rsidRDefault="00440E3F" w:rsidP="00613BEE">
      <w:pPr>
        <w:pStyle w:val="Bezmezer"/>
        <w:ind w:left="397" w:hanging="397"/>
        <w:rPr>
          <w:sz w:val="24"/>
          <w:szCs w:val="24"/>
        </w:rPr>
      </w:pPr>
    </w:p>
    <w:p w14:paraId="5FA4435D" w14:textId="77777777" w:rsidR="007F452A" w:rsidRPr="00EF4239" w:rsidRDefault="00440E3F" w:rsidP="00613BEE">
      <w:pPr>
        <w:pStyle w:val="Bezmezer"/>
        <w:numPr>
          <w:ilvl w:val="0"/>
          <w:numId w:val="56"/>
        </w:numPr>
        <w:ind w:left="397" w:hanging="397"/>
        <w:jc w:val="both"/>
        <w:rPr>
          <w:rFonts w:ascii="Calibri" w:hAnsi="Calibri"/>
          <w:iCs/>
          <w:sz w:val="24"/>
          <w:szCs w:val="24"/>
        </w:rPr>
      </w:pPr>
      <w:r w:rsidRPr="0062094D">
        <w:rPr>
          <w:rFonts w:ascii="Calibri" w:hAnsi="Calibri"/>
          <w:sz w:val="24"/>
          <w:szCs w:val="24"/>
        </w:rPr>
        <w:t xml:space="preserve">Přidělená dotace (finanční prostředky) se poskytuje převodem z účtu poskytovatele </w:t>
      </w:r>
      <w:r w:rsidR="008363B2" w:rsidRPr="0062094D">
        <w:rPr>
          <w:rFonts w:ascii="Calibri" w:hAnsi="Calibri"/>
          <w:sz w:val="24"/>
          <w:szCs w:val="24"/>
        </w:rPr>
        <w:t xml:space="preserve">(HMP) </w:t>
      </w:r>
      <w:r w:rsidRPr="005A69A2">
        <w:rPr>
          <w:rFonts w:ascii="Calibri" w:hAnsi="Calibri"/>
          <w:sz w:val="24"/>
          <w:szCs w:val="24"/>
        </w:rPr>
        <w:t>na bankovní účet příjemce</w:t>
      </w:r>
      <w:r w:rsidR="008363B2" w:rsidRPr="005A69A2">
        <w:rPr>
          <w:rFonts w:ascii="Calibri" w:hAnsi="Calibri"/>
          <w:sz w:val="24"/>
          <w:szCs w:val="24"/>
        </w:rPr>
        <w:t xml:space="preserve"> (poskytovatele sociální služby)</w:t>
      </w:r>
      <w:r w:rsidRPr="005A69A2">
        <w:rPr>
          <w:rFonts w:ascii="Calibri" w:hAnsi="Calibri"/>
          <w:sz w:val="24"/>
          <w:szCs w:val="24"/>
        </w:rPr>
        <w:t>. V případě, že pos</w:t>
      </w:r>
      <w:r w:rsidR="00B827D7" w:rsidRPr="00B5344E">
        <w:rPr>
          <w:rFonts w:ascii="Calibri" w:hAnsi="Calibri"/>
          <w:sz w:val="24"/>
          <w:szCs w:val="24"/>
        </w:rPr>
        <w:t xml:space="preserve">kytovatelem sociální služby je </w:t>
      </w:r>
      <w:r w:rsidRPr="00284212">
        <w:rPr>
          <w:rFonts w:ascii="Calibri" w:hAnsi="Calibri"/>
          <w:sz w:val="24"/>
          <w:szCs w:val="24"/>
        </w:rPr>
        <w:t xml:space="preserve">příspěvková organizace MČ </w:t>
      </w:r>
      <w:r w:rsidR="00036927" w:rsidRPr="00284212">
        <w:rPr>
          <w:rFonts w:ascii="Calibri" w:hAnsi="Calibri"/>
          <w:sz w:val="24"/>
          <w:szCs w:val="24"/>
        </w:rPr>
        <w:t xml:space="preserve">nebo HMP </w:t>
      </w:r>
      <w:r w:rsidRPr="00EF4239">
        <w:rPr>
          <w:rFonts w:ascii="Calibri" w:hAnsi="Calibri"/>
          <w:sz w:val="24"/>
          <w:szCs w:val="24"/>
        </w:rPr>
        <w:t xml:space="preserve">bude dotace poskytnuta formou rozpočtového opatření. </w:t>
      </w:r>
    </w:p>
    <w:p w14:paraId="3BB9395A" w14:textId="77777777" w:rsidR="007F452A" w:rsidRPr="00EF4239" w:rsidRDefault="007F452A" w:rsidP="00613BEE">
      <w:pPr>
        <w:pStyle w:val="Odstavecseseznamem"/>
        <w:spacing w:after="0" w:line="240" w:lineRule="auto"/>
        <w:ind w:left="397" w:hanging="397"/>
        <w:rPr>
          <w:rFonts w:ascii="Calibri" w:hAnsi="Calibri"/>
          <w:sz w:val="24"/>
          <w:szCs w:val="24"/>
        </w:rPr>
      </w:pPr>
    </w:p>
    <w:p w14:paraId="4BDA011E" w14:textId="77777777" w:rsidR="00B634CE" w:rsidRPr="00EF4239" w:rsidRDefault="00440E3F" w:rsidP="00613BEE">
      <w:pPr>
        <w:pStyle w:val="Bezmezer"/>
        <w:numPr>
          <w:ilvl w:val="0"/>
          <w:numId w:val="56"/>
        </w:numPr>
        <w:ind w:left="397" w:hanging="397"/>
        <w:jc w:val="both"/>
        <w:rPr>
          <w:rFonts w:ascii="Calibri" w:hAnsi="Calibri"/>
          <w:iCs/>
          <w:sz w:val="24"/>
          <w:szCs w:val="24"/>
        </w:rPr>
      </w:pPr>
      <w:r w:rsidRPr="00EF4239">
        <w:rPr>
          <w:rFonts w:ascii="Calibri" w:hAnsi="Calibri"/>
          <w:sz w:val="24"/>
          <w:szCs w:val="24"/>
        </w:rPr>
        <w:t>Přidělená dotace je vyplácena ve splátkách</w:t>
      </w:r>
      <w:r w:rsidR="00F64EE9" w:rsidRPr="00EF4239">
        <w:rPr>
          <w:rFonts w:ascii="Calibri" w:hAnsi="Calibri"/>
          <w:sz w:val="24"/>
          <w:szCs w:val="24"/>
        </w:rPr>
        <w:t xml:space="preserve"> formou</w:t>
      </w:r>
      <w:r w:rsidR="00103AC5" w:rsidRPr="00EF4239">
        <w:rPr>
          <w:rFonts w:ascii="Calibri" w:hAnsi="Calibri"/>
          <w:sz w:val="24"/>
          <w:szCs w:val="24"/>
        </w:rPr>
        <w:t xml:space="preserve"> průběžného ročního financování</w:t>
      </w:r>
      <w:r w:rsidRPr="00EF4239">
        <w:rPr>
          <w:rFonts w:ascii="Calibri" w:hAnsi="Calibri"/>
          <w:sz w:val="24"/>
          <w:szCs w:val="24"/>
        </w:rPr>
        <w:t xml:space="preserve"> na bankovní účet příjemce, a to v souladu s termíny a výší jednotlivých splátek MPSV vyplacených HMP</w:t>
      </w:r>
      <w:r w:rsidR="00B634CE" w:rsidRPr="00EF4239">
        <w:rPr>
          <w:rFonts w:ascii="Calibri" w:hAnsi="Calibri"/>
          <w:sz w:val="24"/>
          <w:szCs w:val="24"/>
        </w:rPr>
        <w:t xml:space="preserve"> na základě vyúčtování poskytovatelů sociálních služeb</w:t>
      </w:r>
      <w:r w:rsidR="003830CC" w:rsidRPr="00EF4239">
        <w:rPr>
          <w:rFonts w:ascii="Calibri" w:hAnsi="Calibri"/>
          <w:sz w:val="24"/>
          <w:szCs w:val="24"/>
        </w:rPr>
        <w:t>.</w:t>
      </w:r>
    </w:p>
    <w:p w14:paraId="0569CA6C" w14:textId="77777777" w:rsidR="00B634CE" w:rsidRPr="00103AC5" w:rsidRDefault="00B634CE" w:rsidP="00B634CE">
      <w:pPr>
        <w:pStyle w:val="Bezmezer"/>
        <w:ind w:left="567"/>
        <w:jc w:val="both"/>
        <w:rPr>
          <w:rFonts w:ascii="Calibri" w:hAnsi="Calibri"/>
          <w:sz w:val="24"/>
          <w:szCs w:val="24"/>
        </w:rPr>
      </w:pPr>
    </w:p>
    <w:p w14:paraId="468741A3" w14:textId="2FE06DC9" w:rsidR="001043C1" w:rsidRPr="00613BEE" w:rsidRDefault="001043C1" w:rsidP="00613BEE">
      <w:pPr>
        <w:pStyle w:val="Bezmezer"/>
        <w:jc w:val="center"/>
        <w:rPr>
          <w:b/>
          <w:color w:val="365F91" w:themeColor="accent1" w:themeShade="BF"/>
          <w:sz w:val="24"/>
          <w:szCs w:val="24"/>
        </w:rPr>
      </w:pPr>
      <w:r w:rsidRPr="00613BEE">
        <w:rPr>
          <w:rFonts w:asciiTheme="minorHAnsi" w:hAnsiTheme="minorHAnsi"/>
          <w:b/>
          <w:color w:val="365F91" w:themeColor="accent1" w:themeShade="BF"/>
          <w:sz w:val="24"/>
          <w:szCs w:val="24"/>
        </w:rPr>
        <w:t xml:space="preserve">Část </w:t>
      </w:r>
      <w:r w:rsidR="00D700BB" w:rsidRPr="00613BEE">
        <w:rPr>
          <w:rFonts w:asciiTheme="minorHAnsi" w:hAnsiTheme="minorHAnsi"/>
          <w:b/>
          <w:color w:val="365F91" w:themeColor="accent1" w:themeShade="BF"/>
          <w:sz w:val="24"/>
          <w:szCs w:val="24"/>
        </w:rPr>
        <w:t>IX</w:t>
      </w:r>
    </w:p>
    <w:p w14:paraId="4DEDF117" w14:textId="77777777" w:rsidR="001043C1" w:rsidRPr="00103AC5" w:rsidRDefault="001043C1" w:rsidP="001043C1">
      <w:pPr>
        <w:pStyle w:val="Odstavecseseznamem"/>
        <w:autoSpaceDE w:val="0"/>
        <w:autoSpaceDN w:val="0"/>
        <w:adjustRightInd w:val="0"/>
        <w:spacing w:after="0" w:line="240" w:lineRule="auto"/>
        <w:jc w:val="center"/>
        <w:rPr>
          <w:rFonts w:ascii="Calibri" w:eastAsiaTheme="majorEastAsia" w:hAnsi="Calibri" w:cs="Times New Roman"/>
          <w:b/>
          <w:bCs/>
          <w:color w:val="365F91" w:themeColor="accent1" w:themeShade="BF"/>
          <w:sz w:val="24"/>
          <w:szCs w:val="24"/>
        </w:rPr>
      </w:pPr>
      <w:r w:rsidRPr="00103AC5">
        <w:rPr>
          <w:rFonts w:ascii="Calibri" w:eastAsiaTheme="majorEastAsia" w:hAnsi="Calibri" w:cs="Times New Roman"/>
          <w:b/>
          <w:bCs/>
          <w:color w:val="365F91" w:themeColor="accent1" w:themeShade="BF"/>
          <w:sz w:val="24"/>
          <w:szCs w:val="24"/>
        </w:rPr>
        <w:t xml:space="preserve">Sledování evidence uživatelů sociálních služeb a vedení dokumentace </w:t>
      </w:r>
    </w:p>
    <w:p w14:paraId="3C46E841" w14:textId="77777777" w:rsidR="00EA5BEE" w:rsidRPr="00103AC5" w:rsidRDefault="00EA5BEE" w:rsidP="0083495F">
      <w:pPr>
        <w:pStyle w:val="Bezmezer"/>
      </w:pPr>
    </w:p>
    <w:p w14:paraId="0748EAD8" w14:textId="77777777" w:rsidR="00297FA3" w:rsidRPr="00103AC5" w:rsidRDefault="00297FA3" w:rsidP="00613BEE">
      <w:pPr>
        <w:pStyle w:val="Bezmezer"/>
        <w:numPr>
          <w:ilvl w:val="0"/>
          <w:numId w:val="34"/>
        </w:numPr>
        <w:ind w:left="397" w:hanging="397"/>
        <w:jc w:val="both"/>
        <w:rPr>
          <w:rFonts w:ascii="Calibri" w:hAnsi="Calibri"/>
          <w:sz w:val="24"/>
          <w:szCs w:val="24"/>
        </w:rPr>
      </w:pPr>
      <w:r w:rsidRPr="00103AC5">
        <w:rPr>
          <w:rFonts w:ascii="Calibri" w:hAnsi="Calibri"/>
          <w:sz w:val="24"/>
          <w:szCs w:val="24"/>
        </w:rPr>
        <w:t>Poskytovatel</w:t>
      </w:r>
      <w:r w:rsidR="00CD1E25" w:rsidRPr="00103AC5">
        <w:rPr>
          <w:rFonts w:ascii="Calibri" w:hAnsi="Calibri"/>
          <w:sz w:val="24"/>
          <w:szCs w:val="24"/>
        </w:rPr>
        <w:t>é</w:t>
      </w:r>
      <w:r w:rsidRPr="00103AC5">
        <w:rPr>
          <w:rFonts w:ascii="Calibri" w:hAnsi="Calibri"/>
          <w:sz w:val="24"/>
          <w:szCs w:val="24"/>
        </w:rPr>
        <w:t xml:space="preserve"> sociální</w:t>
      </w:r>
      <w:r w:rsidR="00CD1E25" w:rsidRPr="00103AC5">
        <w:rPr>
          <w:rFonts w:ascii="Calibri" w:hAnsi="Calibri"/>
          <w:sz w:val="24"/>
          <w:szCs w:val="24"/>
        </w:rPr>
        <w:t>ch</w:t>
      </w:r>
      <w:r w:rsidRPr="00103AC5">
        <w:rPr>
          <w:rFonts w:ascii="Calibri" w:hAnsi="Calibri"/>
          <w:sz w:val="24"/>
          <w:szCs w:val="24"/>
        </w:rPr>
        <w:t xml:space="preserve"> služ</w:t>
      </w:r>
      <w:r w:rsidR="00CD1E25" w:rsidRPr="00103AC5">
        <w:rPr>
          <w:rFonts w:ascii="Calibri" w:hAnsi="Calibri"/>
          <w:sz w:val="24"/>
          <w:szCs w:val="24"/>
        </w:rPr>
        <w:t>e</w:t>
      </w:r>
      <w:r w:rsidRPr="00103AC5">
        <w:rPr>
          <w:rFonts w:ascii="Calibri" w:hAnsi="Calibri"/>
          <w:sz w:val="24"/>
          <w:szCs w:val="24"/>
        </w:rPr>
        <w:t>b j</w:t>
      </w:r>
      <w:r w:rsidR="00CD1E25" w:rsidRPr="00103AC5">
        <w:rPr>
          <w:rFonts w:ascii="Calibri" w:hAnsi="Calibri"/>
          <w:sz w:val="24"/>
          <w:szCs w:val="24"/>
        </w:rPr>
        <w:t>sou</w:t>
      </w:r>
      <w:r w:rsidRPr="00103AC5">
        <w:rPr>
          <w:rFonts w:ascii="Calibri" w:hAnsi="Calibri"/>
          <w:sz w:val="24"/>
          <w:szCs w:val="24"/>
        </w:rPr>
        <w:t xml:space="preserve"> povin</w:t>
      </w:r>
      <w:r w:rsidR="00CD1E25" w:rsidRPr="00103AC5">
        <w:rPr>
          <w:rFonts w:ascii="Calibri" w:hAnsi="Calibri"/>
          <w:sz w:val="24"/>
          <w:szCs w:val="24"/>
        </w:rPr>
        <w:t>n</w:t>
      </w:r>
      <w:r w:rsidR="008363B2">
        <w:rPr>
          <w:rFonts w:ascii="Calibri" w:hAnsi="Calibri"/>
          <w:sz w:val="24"/>
          <w:szCs w:val="24"/>
        </w:rPr>
        <w:t>i</w:t>
      </w:r>
      <w:r w:rsidRPr="00103AC5">
        <w:rPr>
          <w:rFonts w:ascii="Calibri" w:hAnsi="Calibri"/>
          <w:sz w:val="24"/>
          <w:szCs w:val="24"/>
        </w:rPr>
        <w:t xml:space="preserve"> vést dokumentaci o poskytovaných sociálních službách  v souladu se zákonem o sociálních službách a </w:t>
      </w:r>
      <w:r w:rsidR="00CD1E25" w:rsidRPr="00103AC5">
        <w:rPr>
          <w:rFonts w:ascii="Calibri" w:hAnsi="Calibri"/>
          <w:sz w:val="24"/>
          <w:szCs w:val="24"/>
        </w:rPr>
        <w:t>statisticky sledovat výkony základních činností sociálních služeb uvedené ve vyhlášce č. 505/2006 Sb., kterou se provádějí některá ustanovení zákona o sociálních službách.</w:t>
      </w:r>
    </w:p>
    <w:p w14:paraId="13662328" w14:textId="77777777" w:rsidR="00CD1E25" w:rsidRPr="00103AC5" w:rsidRDefault="00CD1E25" w:rsidP="00613BEE">
      <w:pPr>
        <w:pStyle w:val="Bezmezer"/>
        <w:ind w:left="397" w:hanging="397"/>
      </w:pPr>
    </w:p>
    <w:p w14:paraId="505F8255" w14:textId="77777777" w:rsidR="00E03973" w:rsidRPr="00613BEE" w:rsidRDefault="00307F81" w:rsidP="00613BEE">
      <w:pPr>
        <w:pStyle w:val="Bezmezer"/>
        <w:numPr>
          <w:ilvl w:val="0"/>
          <w:numId w:val="34"/>
        </w:numPr>
        <w:ind w:left="397" w:hanging="397"/>
        <w:jc w:val="both"/>
        <w:rPr>
          <w:rFonts w:ascii="Calibri" w:hAnsi="Calibri"/>
          <w:sz w:val="24"/>
          <w:szCs w:val="24"/>
        </w:rPr>
      </w:pPr>
      <w:r w:rsidRPr="00103AC5">
        <w:rPr>
          <w:rFonts w:ascii="Calibri" w:hAnsi="Calibri"/>
          <w:sz w:val="24"/>
          <w:szCs w:val="24"/>
        </w:rPr>
        <w:t>Poskytovatelé sociálních služeb</w:t>
      </w:r>
      <w:r w:rsidRPr="00103AC5">
        <w:rPr>
          <w:rFonts w:ascii="Calibri" w:eastAsia="Times New Roman" w:hAnsi="Calibri"/>
          <w:sz w:val="24"/>
          <w:szCs w:val="24"/>
        </w:rPr>
        <w:t xml:space="preserve"> jsou povinn</w:t>
      </w:r>
      <w:r w:rsidR="008363B2">
        <w:rPr>
          <w:rFonts w:ascii="Calibri" w:eastAsia="Times New Roman" w:hAnsi="Calibri"/>
          <w:sz w:val="24"/>
          <w:szCs w:val="24"/>
        </w:rPr>
        <w:t>i</w:t>
      </w:r>
      <w:r w:rsidRPr="00103AC5">
        <w:rPr>
          <w:rFonts w:ascii="Calibri" w:eastAsia="Times New Roman" w:hAnsi="Calibri"/>
          <w:sz w:val="24"/>
          <w:szCs w:val="24"/>
        </w:rPr>
        <w:t xml:space="preserve"> na základě výzvy HMP bezodkladně písemně poskytnout sledované údaje dle bodu 1. na předepsaných formulářích. Formuláře budou součástí smlouvy</w:t>
      </w:r>
      <w:r w:rsidR="00147E1D" w:rsidRPr="00103AC5">
        <w:rPr>
          <w:rFonts w:ascii="Calibri" w:eastAsia="Times New Roman" w:hAnsi="Calibri"/>
          <w:sz w:val="24"/>
          <w:szCs w:val="24"/>
        </w:rPr>
        <w:t>/dodatku ke smlouvě</w:t>
      </w:r>
      <w:r w:rsidRPr="00103AC5">
        <w:rPr>
          <w:rFonts w:ascii="Calibri" w:eastAsia="Times New Roman" w:hAnsi="Calibri"/>
          <w:sz w:val="24"/>
          <w:szCs w:val="24"/>
        </w:rPr>
        <w:t xml:space="preserve"> o poskytnutí dotace.</w:t>
      </w:r>
    </w:p>
    <w:p w14:paraId="4FBD754D" w14:textId="77777777" w:rsidR="00A75C74" w:rsidRPr="00103AC5" w:rsidRDefault="00A75C74" w:rsidP="00613BEE">
      <w:pPr>
        <w:pStyle w:val="Bezmezer"/>
        <w:jc w:val="both"/>
        <w:rPr>
          <w:rFonts w:ascii="Calibri" w:hAnsi="Calibri"/>
          <w:sz w:val="24"/>
          <w:szCs w:val="24"/>
        </w:rPr>
      </w:pPr>
    </w:p>
    <w:p w14:paraId="7B17D7AF" w14:textId="035F3C63" w:rsidR="001043C1" w:rsidRPr="00613BEE" w:rsidRDefault="001043C1" w:rsidP="00613BEE">
      <w:pPr>
        <w:pStyle w:val="Bezmezer"/>
        <w:jc w:val="center"/>
        <w:rPr>
          <w:b/>
          <w:color w:val="365F91" w:themeColor="accent1" w:themeShade="BF"/>
          <w:sz w:val="24"/>
          <w:szCs w:val="24"/>
        </w:rPr>
      </w:pPr>
      <w:r w:rsidRPr="00613BEE">
        <w:rPr>
          <w:rFonts w:asciiTheme="minorHAnsi" w:hAnsiTheme="minorHAnsi"/>
          <w:b/>
          <w:color w:val="365F91" w:themeColor="accent1" w:themeShade="BF"/>
          <w:sz w:val="24"/>
          <w:szCs w:val="24"/>
        </w:rPr>
        <w:t xml:space="preserve">Část </w:t>
      </w:r>
      <w:r w:rsidR="00F351C3" w:rsidRPr="00613BEE">
        <w:rPr>
          <w:rFonts w:asciiTheme="minorHAnsi" w:hAnsiTheme="minorHAnsi"/>
          <w:b/>
          <w:color w:val="365F91" w:themeColor="accent1" w:themeShade="BF"/>
          <w:sz w:val="24"/>
          <w:szCs w:val="24"/>
        </w:rPr>
        <w:t>X</w:t>
      </w:r>
    </w:p>
    <w:p w14:paraId="5CBA487D" w14:textId="6F5D1841" w:rsidR="00440E3F" w:rsidRPr="00103AC5" w:rsidRDefault="00F351C3" w:rsidP="000F0C05">
      <w:pPr>
        <w:keepNext/>
        <w:keepLines/>
        <w:spacing w:after="0" w:line="240" w:lineRule="auto"/>
        <w:ind w:left="714" w:hanging="357"/>
        <w:jc w:val="center"/>
        <w:outlineLvl w:val="0"/>
        <w:rPr>
          <w:rFonts w:ascii="Calibri" w:eastAsiaTheme="majorEastAsia" w:hAnsi="Calibri" w:cs="Times New Roman"/>
          <w:b/>
          <w:bCs/>
          <w:color w:val="365F91" w:themeColor="accent1" w:themeShade="BF"/>
          <w:sz w:val="24"/>
          <w:szCs w:val="24"/>
        </w:rPr>
      </w:pPr>
      <w:r>
        <w:rPr>
          <w:rFonts w:ascii="Calibri" w:eastAsiaTheme="majorEastAsia" w:hAnsi="Calibri" w:cs="Times New Roman"/>
          <w:b/>
          <w:bCs/>
          <w:color w:val="365F91" w:themeColor="accent1" w:themeShade="BF"/>
          <w:sz w:val="24"/>
          <w:szCs w:val="24"/>
        </w:rPr>
        <w:t>Sledování, kontrola,</w:t>
      </w:r>
      <w:r w:rsidR="00440E3F" w:rsidRPr="00103AC5">
        <w:rPr>
          <w:rFonts w:ascii="Calibri" w:eastAsiaTheme="majorEastAsia" w:hAnsi="Calibri" w:cs="Times New Roman"/>
          <w:b/>
          <w:bCs/>
          <w:color w:val="365F91" w:themeColor="accent1" w:themeShade="BF"/>
          <w:sz w:val="24"/>
          <w:szCs w:val="24"/>
        </w:rPr>
        <w:t xml:space="preserve"> finanční vypořádání dotace</w:t>
      </w:r>
      <w:r>
        <w:rPr>
          <w:rFonts w:ascii="Calibri" w:eastAsiaTheme="majorEastAsia" w:hAnsi="Calibri" w:cs="Times New Roman"/>
          <w:b/>
          <w:bCs/>
          <w:color w:val="365F91" w:themeColor="accent1" w:themeShade="BF"/>
          <w:sz w:val="24"/>
          <w:szCs w:val="24"/>
        </w:rPr>
        <w:t xml:space="preserve"> a podmínky použití dotace</w:t>
      </w:r>
    </w:p>
    <w:p w14:paraId="717BBD3F" w14:textId="77777777" w:rsidR="00440E3F" w:rsidRPr="00103AC5" w:rsidRDefault="00440E3F" w:rsidP="0083495F">
      <w:pPr>
        <w:pStyle w:val="Bezmezer"/>
      </w:pPr>
    </w:p>
    <w:p w14:paraId="4E6E9A26" w14:textId="77777777" w:rsidR="003D5156" w:rsidRDefault="00F351C3" w:rsidP="00613BEE">
      <w:pPr>
        <w:pStyle w:val="Bezmezer"/>
        <w:numPr>
          <w:ilvl w:val="0"/>
          <w:numId w:val="35"/>
        </w:numPr>
        <w:ind w:left="397" w:hanging="397"/>
        <w:jc w:val="both"/>
        <w:rPr>
          <w:rFonts w:ascii="Calibri" w:eastAsia="Times New Roman" w:hAnsi="Calibri" w:cs="Times New Roman"/>
          <w:sz w:val="24"/>
          <w:szCs w:val="24"/>
          <w:lang w:eastAsia="cs-CZ"/>
        </w:rPr>
      </w:pPr>
      <w:r w:rsidRPr="00C809A8">
        <w:rPr>
          <w:rFonts w:ascii="Calibri" w:hAnsi="Calibri"/>
          <w:sz w:val="24"/>
          <w:szCs w:val="24"/>
        </w:rPr>
        <w:t xml:space="preserve">Příjemce dotace je povinen využít prostředky hospodárně, efektivně a účelně; účetně je vykazovat v souladu se zákonem č. 563/1991 Sb., o účetnictví, ve znění pozdějších předpisů (dále jen „zákon o účetnictví“); čerpat prostředky dotace v souladu s ostatními </w:t>
      </w:r>
    </w:p>
    <w:p w14:paraId="5634DBC8" w14:textId="77777777" w:rsidR="003D5156" w:rsidRDefault="003D5156" w:rsidP="00613BEE">
      <w:pPr>
        <w:pStyle w:val="Bezmezer"/>
        <w:ind w:left="397"/>
        <w:jc w:val="both"/>
        <w:rPr>
          <w:rFonts w:ascii="Calibri" w:eastAsia="Times New Roman" w:hAnsi="Calibri" w:cs="Times New Roman"/>
          <w:sz w:val="24"/>
          <w:szCs w:val="24"/>
          <w:lang w:eastAsia="cs-CZ"/>
        </w:rPr>
      </w:pPr>
    </w:p>
    <w:p w14:paraId="07887825" w14:textId="041C8C09" w:rsidR="00F351C3" w:rsidRPr="003D5156" w:rsidRDefault="00F351C3" w:rsidP="00613BEE">
      <w:pPr>
        <w:pStyle w:val="Bezmezer"/>
        <w:ind w:left="397"/>
        <w:jc w:val="both"/>
        <w:rPr>
          <w:rFonts w:ascii="Calibri" w:eastAsia="Times New Roman" w:hAnsi="Calibri" w:cs="Times New Roman"/>
          <w:sz w:val="24"/>
          <w:szCs w:val="24"/>
          <w:lang w:eastAsia="cs-CZ"/>
        </w:rPr>
      </w:pPr>
      <w:r w:rsidRPr="003D5156">
        <w:rPr>
          <w:rFonts w:ascii="Calibri" w:hAnsi="Calibri"/>
          <w:sz w:val="24"/>
          <w:szCs w:val="24"/>
        </w:rPr>
        <w:lastRenderedPageBreak/>
        <w:t>obecně platnými předpisy, se smlouvou/dodatkem ke smlouvě a  Pravidly OPZ. Přidělená dotace může být využita jen na účely specifikované ve</w:t>
      </w:r>
      <w:r w:rsidRPr="00C809A8">
        <w:t xml:space="preserve"> </w:t>
      </w:r>
      <w:r w:rsidRPr="003D5156">
        <w:rPr>
          <w:rFonts w:ascii="Calibri" w:hAnsi="Calibri"/>
          <w:sz w:val="24"/>
          <w:szCs w:val="24"/>
        </w:rPr>
        <w:t>veřejnoprávní smlouvě o poskytnutí dotace a Dotačním programu projektu.</w:t>
      </w:r>
    </w:p>
    <w:p w14:paraId="1D094428" w14:textId="77777777" w:rsidR="00F351C3" w:rsidRDefault="00F351C3" w:rsidP="00613BEE">
      <w:pPr>
        <w:pStyle w:val="Bezmezer"/>
        <w:ind w:left="397" w:hanging="397"/>
        <w:jc w:val="both"/>
        <w:rPr>
          <w:rFonts w:ascii="Calibri" w:eastAsia="Times New Roman" w:hAnsi="Calibri" w:cs="Times New Roman"/>
          <w:sz w:val="24"/>
          <w:szCs w:val="24"/>
          <w:lang w:eastAsia="cs-CZ"/>
        </w:rPr>
      </w:pPr>
    </w:p>
    <w:p w14:paraId="7651007D" w14:textId="15016D1C" w:rsidR="00F351C3" w:rsidRPr="00C809A8" w:rsidRDefault="00F351C3" w:rsidP="00613BEE">
      <w:pPr>
        <w:pStyle w:val="Bezmezer"/>
        <w:numPr>
          <w:ilvl w:val="0"/>
          <w:numId w:val="35"/>
        </w:numPr>
        <w:ind w:left="397" w:hanging="397"/>
        <w:jc w:val="both"/>
        <w:rPr>
          <w:rFonts w:ascii="Calibri" w:hAnsi="Calibri"/>
          <w:sz w:val="24"/>
          <w:szCs w:val="24"/>
        </w:rPr>
      </w:pPr>
      <w:r w:rsidRPr="00C809A8">
        <w:rPr>
          <w:rFonts w:ascii="Calibri" w:hAnsi="Calibri"/>
          <w:sz w:val="24"/>
          <w:szCs w:val="24"/>
        </w:rPr>
        <w:t>Příjemce dotace je povinen postupovat v souladu se zákonem č. 134/2016 Sb., o zadávání veřejných zakázek, ve znění pozdějších předpisů (dále jen „ZZVZ“), dojde-li k naplnění stanovených podmínek, zejména pak stanovených v § 4 odst. 2 ZZVZ.</w:t>
      </w:r>
    </w:p>
    <w:p w14:paraId="1C8CBFA9" w14:textId="77777777" w:rsidR="00F351C3" w:rsidRPr="00103AC5" w:rsidRDefault="00F351C3" w:rsidP="00613BEE">
      <w:pPr>
        <w:pStyle w:val="Bezmezer"/>
        <w:ind w:left="397" w:hanging="397"/>
      </w:pPr>
    </w:p>
    <w:p w14:paraId="5EA180CC" w14:textId="1CDDA80E" w:rsidR="00F351C3" w:rsidRPr="00C809A8" w:rsidRDefault="00F351C3" w:rsidP="00613BEE">
      <w:pPr>
        <w:pStyle w:val="Bezmezer"/>
        <w:numPr>
          <w:ilvl w:val="0"/>
          <w:numId w:val="35"/>
        </w:numPr>
        <w:ind w:left="397" w:hanging="397"/>
        <w:jc w:val="both"/>
        <w:rPr>
          <w:rFonts w:ascii="Calibri" w:hAnsi="Calibri"/>
          <w:sz w:val="24"/>
          <w:szCs w:val="24"/>
        </w:rPr>
      </w:pPr>
      <w:r w:rsidRPr="00C809A8">
        <w:rPr>
          <w:rFonts w:ascii="Calibri" w:hAnsi="Calibri"/>
          <w:sz w:val="24"/>
          <w:szCs w:val="24"/>
        </w:rPr>
        <w:t>Příjemce dotace je povinen poskytnout HMP podklady podle části IX Dotačního programu projektu ve lhůtách stanovených HMP.</w:t>
      </w:r>
    </w:p>
    <w:p w14:paraId="74D6FA1B" w14:textId="77777777" w:rsidR="00F351C3" w:rsidRPr="00F351C3" w:rsidRDefault="00F351C3" w:rsidP="00613BEE">
      <w:pPr>
        <w:pStyle w:val="Bezmezer"/>
        <w:ind w:left="397" w:hanging="397"/>
      </w:pPr>
    </w:p>
    <w:p w14:paraId="7645E281" w14:textId="77777777" w:rsidR="00F351C3" w:rsidRPr="00F351C3" w:rsidRDefault="00F351C3" w:rsidP="00613BEE">
      <w:pPr>
        <w:pStyle w:val="Bezmezer"/>
        <w:numPr>
          <w:ilvl w:val="0"/>
          <w:numId w:val="35"/>
        </w:numPr>
        <w:ind w:left="397" w:hanging="397"/>
        <w:jc w:val="both"/>
        <w:rPr>
          <w:rFonts w:ascii="Calibri" w:hAnsi="Calibri"/>
          <w:sz w:val="24"/>
          <w:szCs w:val="24"/>
        </w:rPr>
      </w:pPr>
      <w:r w:rsidRPr="00C809A8">
        <w:rPr>
          <w:rFonts w:ascii="Calibri" w:hAnsi="Calibri"/>
          <w:sz w:val="24"/>
          <w:szCs w:val="24"/>
        </w:rPr>
        <w:t>Příjemce dotace je dále povinen uvést ve svých vnitřních směrnicích povinnost uchovávat veškeré dokumenty související s realizací účelu Žádosti po dobu alespoň 10 let od ukončení účelu, přičemž tato lhůta začíná běžet 1. ledna následujícího kalendářního roku poté, co byla ukončena smlouva o poskytnutí dotace</w:t>
      </w:r>
      <w:r w:rsidRPr="00F351C3">
        <w:rPr>
          <w:rFonts w:ascii="Calibri" w:hAnsi="Calibri"/>
          <w:sz w:val="24"/>
          <w:szCs w:val="24"/>
        </w:rPr>
        <w:t>.</w:t>
      </w:r>
    </w:p>
    <w:p w14:paraId="720F6313" w14:textId="77777777" w:rsidR="00F351C3" w:rsidRPr="00D97E46" w:rsidRDefault="00F351C3" w:rsidP="00613BEE">
      <w:pPr>
        <w:pStyle w:val="Bezmezer"/>
        <w:ind w:left="397" w:hanging="397"/>
        <w:jc w:val="both"/>
        <w:rPr>
          <w:rFonts w:ascii="Calibri" w:hAnsi="Calibri" w:cs="Times New Roman"/>
          <w:sz w:val="24"/>
          <w:szCs w:val="24"/>
        </w:rPr>
      </w:pPr>
    </w:p>
    <w:p w14:paraId="5358C59D" w14:textId="54E0A9CE" w:rsidR="00F351C3" w:rsidRPr="00C809A8" w:rsidRDefault="00F351C3" w:rsidP="00613BEE">
      <w:pPr>
        <w:pStyle w:val="Bezmezer"/>
        <w:numPr>
          <w:ilvl w:val="0"/>
          <w:numId w:val="35"/>
        </w:numPr>
        <w:ind w:left="397" w:hanging="397"/>
        <w:jc w:val="both"/>
        <w:rPr>
          <w:rFonts w:ascii="Calibri" w:hAnsi="Calibri"/>
          <w:sz w:val="24"/>
          <w:szCs w:val="24"/>
        </w:rPr>
      </w:pPr>
      <w:r w:rsidRPr="00C809A8">
        <w:rPr>
          <w:rFonts w:ascii="Calibri" w:hAnsi="Calibri"/>
          <w:sz w:val="24"/>
          <w:szCs w:val="24"/>
        </w:rPr>
        <w:t>Výkon jakékoli práce jednoho zaměstnance v rámci případných uzavřených pracovních poměrů i dohod o provedení práce i dohod o pracovní činnosti v rámci účelu Žádosti může být maximálně do 1,0 celého úvazku dohromady v rámci jednoho příjemce zapojeného do Projektu.</w:t>
      </w:r>
    </w:p>
    <w:p w14:paraId="0FA1FFAA" w14:textId="77777777" w:rsidR="00F351C3" w:rsidRPr="00C809A8" w:rsidRDefault="00F351C3" w:rsidP="00613BEE">
      <w:pPr>
        <w:pStyle w:val="Bezmezer"/>
        <w:ind w:left="397" w:hanging="397"/>
      </w:pPr>
    </w:p>
    <w:p w14:paraId="54D9D840" w14:textId="77777777" w:rsidR="00F351C3" w:rsidRPr="00C809A8" w:rsidRDefault="00F351C3" w:rsidP="00613BEE">
      <w:pPr>
        <w:pStyle w:val="Bezmezer"/>
        <w:numPr>
          <w:ilvl w:val="0"/>
          <w:numId w:val="35"/>
        </w:numPr>
        <w:ind w:left="397" w:hanging="397"/>
        <w:jc w:val="both"/>
        <w:rPr>
          <w:rFonts w:ascii="Calibri" w:hAnsi="Calibri"/>
          <w:sz w:val="24"/>
          <w:szCs w:val="24"/>
        </w:rPr>
      </w:pPr>
      <w:r w:rsidRPr="00C809A8">
        <w:rPr>
          <w:rFonts w:ascii="Calibri" w:hAnsi="Calibri"/>
          <w:sz w:val="24"/>
          <w:szCs w:val="24"/>
        </w:rPr>
        <w:t xml:space="preserve">Poměr přepočtených úvazků pracovníků v přímé péči vůči úvazkům ostatních pracovníků je dán poměrem: </w:t>
      </w:r>
    </w:p>
    <w:p w14:paraId="4449F1A2" w14:textId="7E7449A0" w:rsidR="00F351C3" w:rsidRPr="00C809A8" w:rsidRDefault="00F351C3" w:rsidP="00613BEE">
      <w:pPr>
        <w:pStyle w:val="Bezmezer"/>
        <w:ind w:left="794"/>
        <w:jc w:val="both"/>
        <w:rPr>
          <w:rFonts w:ascii="Calibri" w:hAnsi="Calibri"/>
          <w:sz w:val="24"/>
          <w:szCs w:val="24"/>
        </w:rPr>
      </w:pPr>
      <w:r w:rsidRPr="00C809A8">
        <w:rPr>
          <w:rFonts w:ascii="Calibri" w:hAnsi="Calibri"/>
          <w:sz w:val="24"/>
          <w:szCs w:val="24"/>
        </w:rPr>
        <w:t xml:space="preserve">azylové domy </w:t>
      </w:r>
      <w:r w:rsidRPr="00C809A8">
        <w:rPr>
          <w:rFonts w:ascii="Calibri" w:hAnsi="Calibri"/>
          <w:sz w:val="24"/>
          <w:szCs w:val="24"/>
        </w:rPr>
        <w:tab/>
      </w:r>
      <w:r w:rsidRPr="00C809A8">
        <w:rPr>
          <w:rFonts w:ascii="Calibri" w:hAnsi="Calibri"/>
          <w:sz w:val="24"/>
          <w:szCs w:val="24"/>
        </w:rPr>
        <w:tab/>
      </w:r>
      <w:r w:rsidRPr="00C809A8">
        <w:rPr>
          <w:rFonts w:ascii="Calibri" w:hAnsi="Calibri"/>
          <w:sz w:val="24"/>
          <w:szCs w:val="24"/>
        </w:rPr>
        <w:tab/>
      </w:r>
      <w:r w:rsidR="00A75C74">
        <w:rPr>
          <w:rFonts w:ascii="Calibri" w:hAnsi="Calibri"/>
          <w:sz w:val="24"/>
          <w:szCs w:val="24"/>
        </w:rPr>
        <w:tab/>
      </w:r>
      <w:r w:rsidRPr="00C809A8">
        <w:rPr>
          <w:rFonts w:ascii="Calibri" w:hAnsi="Calibri"/>
          <w:sz w:val="24"/>
          <w:szCs w:val="24"/>
        </w:rPr>
        <w:t>65 % : 35 %</w:t>
      </w:r>
    </w:p>
    <w:p w14:paraId="63C79A48" w14:textId="77777777" w:rsidR="00F351C3" w:rsidRPr="00C809A8" w:rsidRDefault="00F351C3" w:rsidP="00613BEE">
      <w:pPr>
        <w:pStyle w:val="Bezmezer"/>
        <w:ind w:left="794"/>
        <w:jc w:val="both"/>
        <w:rPr>
          <w:rFonts w:ascii="Calibri" w:hAnsi="Calibri"/>
          <w:sz w:val="24"/>
          <w:szCs w:val="24"/>
        </w:rPr>
      </w:pPr>
      <w:r w:rsidRPr="00C809A8">
        <w:rPr>
          <w:rFonts w:ascii="Calibri" w:hAnsi="Calibri"/>
          <w:sz w:val="24"/>
          <w:szCs w:val="24"/>
        </w:rPr>
        <w:t xml:space="preserve">domy na půl cesty </w:t>
      </w:r>
      <w:r w:rsidRPr="00C809A8">
        <w:rPr>
          <w:rFonts w:ascii="Calibri" w:hAnsi="Calibri"/>
          <w:sz w:val="24"/>
          <w:szCs w:val="24"/>
        </w:rPr>
        <w:tab/>
      </w:r>
      <w:r w:rsidRPr="00C809A8">
        <w:rPr>
          <w:rFonts w:ascii="Calibri" w:hAnsi="Calibri"/>
          <w:sz w:val="24"/>
          <w:szCs w:val="24"/>
        </w:rPr>
        <w:tab/>
        <w:t>65 % : 35 %</w:t>
      </w:r>
    </w:p>
    <w:p w14:paraId="13A9782B" w14:textId="77777777" w:rsidR="00F351C3" w:rsidRPr="00F351C3" w:rsidRDefault="00F351C3" w:rsidP="00613BEE">
      <w:pPr>
        <w:pStyle w:val="Bezmezer"/>
        <w:ind w:left="397"/>
        <w:jc w:val="both"/>
        <w:rPr>
          <w:rFonts w:ascii="Calibri" w:hAnsi="Calibri"/>
          <w:sz w:val="24"/>
          <w:szCs w:val="24"/>
        </w:rPr>
      </w:pPr>
      <w:r w:rsidRPr="00C809A8">
        <w:rPr>
          <w:rFonts w:ascii="Calibri" w:hAnsi="Calibri"/>
          <w:sz w:val="24"/>
          <w:szCs w:val="24"/>
        </w:rPr>
        <w:t>Do celkových plánovaných přepočtených úvazků uvedených na příslušný kalendářní rok spadají zaměstnanci pracující na pracovní smlouvy, dohody o pracovní činnosti, dohody o  provedení práce.</w:t>
      </w:r>
    </w:p>
    <w:p w14:paraId="75D0C794" w14:textId="77777777" w:rsidR="00F351C3" w:rsidRPr="00F351C3" w:rsidRDefault="00F351C3" w:rsidP="00613BEE">
      <w:pPr>
        <w:pStyle w:val="Bezmezer"/>
        <w:ind w:left="397" w:hanging="397"/>
        <w:jc w:val="both"/>
      </w:pPr>
    </w:p>
    <w:p w14:paraId="6AB11EAA" w14:textId="6408E786" w:rsidR="00A75C74" w:rsidRDefault="00F351C3" w:rsidP="00613BEE">
      <w:pPr>
        <w:pStyle w:val="Bezmezer"/>
        <w:numPr>
          <w:ilvl w:val="0"/>
          <w:numId w:val="35"/>
        </w:numPr>
        <w:ind w:left="397" w:hanging="397"/>
        <w:jc w:val="both"/>
        <w:rPr>
          <w:rFonts w:ascii="Calibri" w:hAnsi="Calibri"/>
          <w:sz w:val="24"/>
          <w:szCs w:val="24"/>
        </w:rPr>
      </w:pPr>
      <w:r w:rsidRPr="00F351C3">
        <w:rPr>
          <w:rFonts w:ascii="Calibri" w:hAnsi="Calibri"/>
          <w:sz w:val="24"/>
          <w:szCs w:val="24"/>
        </w:rPr>
        <w:t xml:space="preserve">Příjemce dotace je </w:t>
      </w:r>
      <w:r w:rsidR="00D97E46">
        <w:rPr>
          <w:rFonts w:ascii="Calibri" w:hAnsi="Calibri"/>
          <w:sz w:val="24"/>
          <w:szCs w:val="24"/>
        </w:rPr>
        <w:t xml:space="preserve">povinen </w:t>
      </w:r>
      <w:r w:rsidRPr="00103AC5">
        <w:rPr>
          <w:rFonts w:ascii="Calibri" w:hAnsi="Calibri"/>
          <w:sz w:val="24"/>
          <w:szCs w:val="24"/>
        </w:rPr>
        <w:t xml:space="preserve">provádět </w:t>
      </w:r>
      <w:r>
        <w:rPr>
          <w:rFonts w:ascii="Calibri" w:hAnsi="Calibri"/>
          <w:sz w:val="24"/>
          <w:szCs w:val="24"/>
        </w:rPr>
        <w:t>I</w:t>
      </w:r>
      <w:r w:rsidRPr="00103AC5">
        <w:rPr>
          <w:rFonts w:ascii="Calibri" w:hAnsi="Calibri"/>
          <w:sz w:val="24"/>
          <w:szCs w:val="24"/>
        </w:rPr>
        <w:t>nformační a komunikační opatření Projektu v  souladu s Pravidly OPZ (např. povinně uvádět příslušná loga EU a OPZ na svých webových stránkách</w:t>
      </w:r>
      <w:r>
        <w:rPr>
          <w:rFonts w:ascii="Calibri" w:hAnsi="Calibri"/>
          <w:sz w:val="24"/>
          <w:szCs w:val="24"/>
        </w:rPr>
        <w:t xml:space="preserve">. </w:t>
      </w:r>
      <w:r w:rsidRPr="00464F80">
        <w:rPr>
          <w:rFonts w:ascii="Calibri" w:hAnsi="Calibri"/>
          <w:sz w:val="24"/>
          <w:szCs w:val="24"/>
        </w:rPr>
        <w:t xml:space="preserve">Příjemce je </w:t>
      </w:r>
      <w:r>
        <w:rPr>
          <w:rFonts w:ascii="Calibri" w:hAnsi="Calibri"/>
          <w:sz w:val="24"/>
          <w:szCs w:val="24"/>
        </w:rPr>
        <w:t xml:space="preserve">dále </w:t>
      </w:r>
      <w:r w:rsidRPr="00464F80">
        <w:rPr>
          <w:rFonts w:ascii="Calibri" w:hAnsi="Calibri"/>
          <w:sz w:val="24"/>
          <w:szCs w:val="24"/>
        </w:rPr>
        <w:t xml:space="preserve">povinen při realizaci </w:t>
      </w:r>
      <w:r>
        <w:rPr>
          <w:rFonts w:ascii="Calibri" w:hAnsi="Calibri"/>
          <w:sz w:val="24"/>
          <w:szCs w:val="24"/>
        </w:rPr>
        <w:t>účelu Žádosti</w:t>
      </w:r>
      <w:r w:rsidRPr="00464F80">
        <w:rPr>
          <w:rFonts w:ascii="Calibri" w:hAnsi="Calibri"/>
          <w:sz w:val="24"/>
          <w:szCs w:val="24"/>
        </w:rPr>
        <w:t xml:space="preserve"> a po jeho skončení prokazatelným a vhodným způsobem prezentovat hlavní město Prahu a jeho logo jako </w:t>
      </w:r>
      <w:r>
        <w:rPr>
          <w:rFonts w:ascii="Calibri" w:hAnsi="Calibri"/>
          <w:sz w:val="24"/>
          <w:szCs w:val="24"/>
        </w:rPr>
        <w:t>p</w:t>
      </w:r>
      <w:r w:rsidRPr="00464F80">
        <w:rPr>
          <w:rFonts w:ascii="Calibri" w:hAnsi="Calibri"/>
          <w:sz w:val="24"/>
          <w:szCs w:val="24"/>
        </w:rPr>
        <w:t xml:space="preserve">oskytovatele Dotace na všech propagačních a informačních materiálech, pokud existují, na pozvánkách, případně slovně prezentovat </w:t>
      </w:r>
      <w:r>
        <w:rPr>
          <w:rFonts w:ascii="Calibri" w:hAnsi="Calibri"/>
          <w:sz w:val="24"/>
          <w:szCs w:val="24"/>
        </w:rPr>
        <w:t>p</w:t>
      </w:r>
      <w:r w:rsidRPr="00464F80">
        <w:rPr>
          <w:rFonts w:ascii="Calibri" w:hAnsi="Calibri"/>
          <w:sz w:val="24"/>
          <w:szCs w:val="24"/>
        </w:rPr>
        <w:t>oskytovatele</w:t>
      </w:r>
      <w:r>
        <w:rPr>
          <w:rFonts w:ascii="Calibri" w:hAnsi="Calibri"/>
          <w:sz w:val="24"/>
          <w:szCs w:val="24"/>
        </w:rPr>
        <w:t xml:space="preserve"> Dotace</w:t>
      </w:r>
      <w:r w:rsidRPr="00464F80">
        <w:rPr>
          <w:rFonts w:ascii="Calibri" w:hAnsi="Calibri"/>
          <w:sz w:val="24"/>
          <w:szCs w:val="24"/>
        </w:rPr>
        <w:t xml:space="preserve"> v médiích a</w:t>
      </w:r>
      <w:r w:rsidR="00A75C74">
        <w:rPr>
          <w:rFonts w:ascii="Calibri" w:hAnsi="Calibri"/>
          <w:sz w:val="24"/>
          <w:szCs w:val="24"/>
        </w:rPr>
        <w:t> </w:t>
      </w:r>
      <w:r w:rsidRPr="00464F80">
        <w:rPr>
          <w:rFonts w:ascii="Calibri" w:hAnsi="Calibri"/>
          <w:sz w:val="24"/>
          <w:szCs w:val="24"/>
        </w:rPr>
        <w:t xml:space="preserve">při vydávání tiskových zpráv; v případě, že </w:t>
      </w:r>
      <w:r>
        <w:rPr>
          <w:rFonts w:ascii="Calibri" w:hAnsi="Calibri"/>
          <w:sz w:val="24"/>
          <w:szCs w:val="24"/>
        </w:rPr>
        <w:t>p</w:t>
      </w:r>
      <w:r w:rsidRPr="00464F80">
        <w:rPr>
          <w:rFonts w:ascii="Calibri" w:hAnsi="Calibri"/>
          <w:sz w:val="24"/>
          <w:szCs w:val="24"/>
        </w:rPr>
        <w:t xml:space="preserve">říjemce provozuje webové stránky a uvádí zde informace o </w:t>
      </w:r>
      <w:r>
        <w:rPr>
          <w:rFonts w:ascii="Calibri" w:hAnsi="Calibri"/>
          <w:sz w:val="24"/>
          <w:szCs w:val="24"/>
        </w:rPr>
        <w:t>ú</w:t>
      </w:r>
      <w:r w:rsidRPr="00464F80">
        <w:rPr>
          <w:rFonts w:ascii="Calibri" w:hAnsi="Calibri"/>
          <w:sz w:val="24"/>
          <w:szCs w:val="24"/>
        </w:rPr>
        <w:t>čelu</w:t>
      </w:r>
      <w:r>
        <w:rPr>
          <w:rFonts w:ascii="Calibri" w:hAnsi="Calibri"/>
          <w:sz w:val="24"/>
          <w:szCs w:val="24"/>
        </w:rPr>
        <w:t xml:space="preserve"> Žádosti</w:t>
      </w:r>
      <w:r w:rsidRPr="00464F80">
        <w:rPr>
          <w:rFonts w:ascii="Calibri" w:hAnsi="Calibri"/>
          <w:sz w:val="24"/>
          <w:szCs w:val="24"/>
        </w:rPr>
        <w:t xml:space="preserve"> zveřejněním oficiálního loga </w:t>
      </w:r>
      <w:r>
        <w:rPr>
          <w:rFonts w:ascii="Calibri" w:hAnsi="Calibri"/>
          <w:sz w:val="24"/>
          <w:szCs w:val="24"/>
        </w:rPr>
        <w:t>p</w:t>
      </w:r>
      <w:r w:rsidRPr="00464F80">
        <w:rPr>
          <w:rFonts w:ascii="Calibri" w:hAnsi="Calibri"/>
          <w:sz w:val="24"/>
          <w:szCs w:val="24"/>
        </w:rPr>
        <w:t>oskytovatele na vhodném a</w:t>
      </w:r>
      <w:r w:rsidR="00A75C74">
        <w:rPr>
          <w:rFonts w:ascii="Calibri" w:hAnsi="Calibri"/>
          <w:sz w:val="24"/>
          <w:szCs w:val="24"/>
        </w:rPr>
        <w:t> </w:t>
      </w:r>
      <w:r w:rsidRPr="00464F80">
        <w:rPr>
          <w:rFonts w:ascii="Calibri" w:hAnsi="Calibri"/>
          <w:sz w:val="24"/>
          <w:szCs w:val="24"/>
        </w:rPr>
        <w:t>viditelném místě společně s uvedením informace „Projekt je realizován s finanční podporou hlavního města Prahy.“ K tomuto účelu uděluje Poskytovatel Příjemci souhlas s</w:t>
      </w:r>
      <w:r w:rsidR="00600F79">
        <w:rPr>
          <w:rFonts w:ascii="Calibri" w:hAnsi="Calibri"/>
          <w:sz w:val="24"/>
          <w:szCs w:val="24"/>
        </w:rPr>
        <w:t> </w:t>
      </w:r>
      <w:r w:rsidRPr="00464F80">
        <w:rPr>
          <w:rFonts w:ascii="Calibri" w:hAnsi="Calibri"/>
          <w:sz w:val="24"/>
          <w:szCs w:val="24"/>
        </w:rPr>
        <w:t xml:space="preserve"> užíváním loga hlavního města Prahy. Použití loga se řídí podle „Manuálu jednotného vizuálního stylu hlavního města Prahy </w:t>
      </w:r>
      <w:r w:rsidR="007C4924">
        <w:rPr>
          <w:rFonts w:ascii="Calibri" w:hAnsi="Calibri"/>
          <w:sz w:val="24"/>
          <w:szCs w:val="24"/>
        </w:rPr>
        <w:t>-</w:t>
      </w:r>
      <w:r w:rsidRPr="00464F80">
        <w:rPr>
          <w:rFonts w:ascii="Calibri" w:hAnsi="Calibri"/>
          <w:sz w:val="24"/>
          <w:szCs w:val="24"/>
        </w:rPr>
        <w:t xml:space="preserve"> grafického manuálu HMP“ dostupného na https://praha.brandcloud.pro/. Pro získání loga ve formátu určeném pro grafické účely a</w:t>
      </w:r>
      <w:r w:rsidR="00600F79">
        <w:rPr>
          <w:rFonts w:ascii="Calibri" w:hAnsi="Calibri"/>
          <w:sz w:val="24"/>
          <w:szCs w:val="24"/>
        </w:rPr>
        <w:t> </w:t>
      </w:r>
      <w:r w:rsidRPr="00464F80">
        <w:rPr>
          <w:rFonts w:ascii="Calibri" w:hAnsi="Calibri"/>
          <w:sz w:val="24"/>
          <w:szCs w:val="24"/>
        </w:rPr>
        <w:t xml:space="preserve"> kontrolu správnosti použití loga k propagačním účelům </w:t>
      </w:r>
      <w:r>
        <w:rPr>
          <w:rFonts w:ascii="Calibri" w:hAnsi="Calibri"/>
          <w:sz w:val="24"/>
          <w:szCs w:val="24"/>
        </w:rPr>
        <w:t>p</w:t>
      </w:r>
      <w:r w:rsidRPr="00464F80">
        <w:rPr>
          <w:rFonts w:ascii="Calibri" w:hAnsi="Calibri"/>
          <w:sz w:val="24"/>
          <w:szCs w:val="24"/>
        </w:rPr>
        <w:t xml:space="preserve">říjemce kontaktuje Odbor komunikace a marketingu MHMP na adrese logo@praha.eu. Poskytovatel si vyhrazuje právo využít případné informace a výstupy realizovaného </w:t>
      </w:r>
      <w:r>
        <w:rPr>
          <w:rFonts w:ascii="Calibri" w:hAnsi="Calibri"/>
          <w:sz w:val="24"/>
          <w:szCs w:val="24"/>
        </w:rPr>
        <w:t>ú</w:t>
      </w:r>
      <w:r w:rsidRPr="00464F80">
        <w:rPr>
          <w:rFonts w:ascii="Calibri" w:hAnsi="Calibri"/>
          <w:sz w:val="24"/>
          <w:szCs w:val="24"/>
        </w:rPr>
        <w:t>čelu dotace včetně digitální a</w:t>
      </w:r>
      <w:r w:rsidR="00600F79">
        <w:rPr>
          <w:rFonts w:ascii="Calibri" w:hAnsi="Calibri"/>
          <w:sz w:val="24"/>
          <w:szCs w:val="24"/>
        </w:rPr>
        <w:t> </w:t>
      </w:r>
      <w:r w:rsidRPr="00464F80">
        <w:rPr>
          <w:rFonts w:ascii="Calibri" w:hAnsi="Calibri"/>
          <w:sz w:val="24"/>
          <w:szCs w:val="24"/>
        </w:rPr>
        <w:t>tištěné prezentace ke své prezentaci a k případnému poskytnutí třetí osobě. Příjemce se</w:t>
      </w:r>
    </w:p>
    <w:p w14:paraId="658560FD" w14:textId="27F23F4B" w:rsidR="00F351C3" w:rsidRPr="00103AC5" w:rsidRDefault="00F351C3" w:rsidP="00613BEE">
      <w:pPr>
        <w:pStyle w:val="Bezmezer"/>
        <w:ind w:left="397"/>
        <w:jc w:val="both"/>
        <w:rPr>
          <w:rFonts w:ascii="Calibri" w:hAnsi="Calibri"/>
          <w:sz w:val="24"/>
          <w:szCs w:val="24"/>
        </w:rPr>
      </w:pPr>
      <w:r w:rsidRPr="00464F80">
        <w:rPr>
          <w:rFonts w:ascii="Calibri" w:hAnsi="Calibri"/>
          <w:sz w:val="24"/>
          <w:szCs w:val="24"/>
        </w:rPr>
        <w:t xml:space="preserve">zavazuje toto právo </w:t>
      </w:r>
      <w:r>
        <w:rPr>
          <w:rFonts w:ascii="Calibri" w:hAnsi="Calibri"/>
          <w:sz w:val="24"/>
          <w:szCs w:val="24"/>
        </w:rPr>
        <w:t>p</w:t>
      </w:r>
      <w:r w:rsidRPr="00464F80">
        <w:rPr>
          <w:rFonts w:ascii="Calibri" w:hAnsi="Calibri"/>
          <w:sz w:val="24"/>
          <w:szCs w:val="24"/>
        </w:rPr>
        <w:t>oskytovatele strpět a poskytnout k jeho realizaci veškerou součinnost.</w:t>
      </w:r>
    </w:p>
    <w:p w14:paraId="3537AD98" w14:textId="77777777" w:rsidR="0019068D" w:rsidRPr="00103AC5" w:rsidRDefault="0019068D" w:rsidP="00613BEE">
      <w:pPr>
        <w:pStyle w:val="Bezmezer"/>
        <w:ind w:left="397" w:hanging="397"/>
      </w:pPr>
    </w:p>
    <w:p w14:paraId="340B63BB" w14:textId="44A6D8EB" w:rsidR="00440E3F" w:rsidRPr="00103AC5" w:rsidRDefault="00440E3F" w:rsidP="00613BEE">
      <w:pPr>
        <w:pStyle w:val="Bezmezer"/>
        <w:numPr>
          <w:ilvl w:val="0"/>
          <w:numId w:val="35"/>
        </w:numPr>
        <w:ind w:left="397" w:hanging="397"/>
        <w:jc w:val="both"/>
        <w:rPr>
          <w:rFonts w:ascii="Calibri" w:eastAsia="Times New Roman" w:hAnsi="Calibri" w:cs="Times New Roman"/>
          <w:sz w:val="24"/>
          <w:szCs w:val="24"/>
          <w:lang w:eastAsia="cs-CZ"/>
        </w:rPr>
      </w:pPr>
      <w:r w:rsidRPr="00103AC5">
        <w:rPr>
          <w:rFonts w:ascii="Calibri" w:eastAsia="Times New Roman" w:hAnsi="Calibri" w:cs="Times New Roman"/>
          <w:sz w:val="24"/>
          <w:szCs w:val="24"/>
          <w:lang w:eastAsia="cs-CZ"/>
        </w:rPr>
        <w:lastRenderedPageBreak/>
        <w:t>Příjemce dotace je povinen vést čerpání</w:t>
      </w:r>
      <w:r w:rsidR="0092052A" w:rsidRPr="00103AC5">
        <w:rPr>
          <w:rFonts w:ascii="Calibri" w:eastAsia="Times New Roman" w:hAnsi="Calibri" w:cs="Times New Roman"/>
          <w:sz w:val="24"/>
          <w:szCs w:val="24"/>
          <w:lang w:eastAsia="cs-CZ"/>
        </w:rPr>
        <w:t xml:space="preserve"> celkových</w:t>
      </w:r>
      <w:r w:rsidRPr="00103AC5">
        <w:rPr>
          <w:rFonts w:ascii="Calibri" w:eastAsia="Times New Roman" w:hAnsi="Calibri" w:cs="Times New Roman"/>
          <w:sz w:val="24"/>
          <w:szCs w:val="24"/>
          <w:lang w:eastAsia="cs-CZ"/>
        </w:rPr>
        <w:t xml:space="preserve"> </w:t>
      </w:r>
      <w:r w:rsidRPr="007F452A">
        <w:rPr>
          <w:rFonts w:ascii="Calibri" w:eastAsia="Times New Roman" w:hAnsi="Calibri" w:cs="Times New Roman"/>
          <w:sz w:val="24"/>
          <w:szCs w:val="24"/>
          <w:lang w:eastAsia="cs-CZ"/>
        </w:rPr>
        <w:t>přidělených finančních prostředků</w:t>
      </w:r>
      <w:r w:rsidR="00902593" w:rsidRPr="007F452A">
        <w:rPr>
          <w:rFonts w:ascii="Calibri" w:eastAsia="Times New Roman" w:hAnsi="Calibri" w:cs="Times New Roman"/>
          <w:sz w:val="24"/>
          <w:szCs w:val="24"/>
          <w:lang w:eastAsia="cs-CZ"/>
        </w:rPr>
        <w:t xml:space="preserve"> souvisejících s</w:t>
      </w:r>
      <w:r w:rsidR="000A409A">
        <w:rPr>
          <w:rFonts w:ascii="Calibri" w:eastAsia="Times New Roman" w:hAnsi="Calibri" w:cs="Times New Roman"/>
          <w:sz w:val="24"/>
          <w:szCs w:val="24"/>
          <w:lang w:eastAsia="cs-CZ"/>
        </w:rPr>
        <w:t> účelem žádosti</w:t>
      </w:r>
      <w:r w:rsidR="000A409A" w:rsidRPr="007F452A">
        <w:rPr>
          <w:rFonts w:ascii="Calibri" w:eastAsia="Times New Roman" w:hAnsi="Calibri" w:cs="Times New Roman"/>
          <w:sz w:val="24"/>
          <w:szCs w:val="24"/>
          <w:lang w:eastAsia="cs-CZ"/>
        </w:rPr>
        <w:t xml:space="preserve"> </w:t>
      </w:r>
      <w:r w:rsidRPr="007F452A">
        <w:rPr>
          <w:rFonts w:ascii="Calibri" w:eastAsia="Times New Roman" w:hAnsi="Calibri" w:cs="Times New Roman"/>
          <w:sz w:val="24"/>
          <w:szCs w:val="24"/>
          <w:lang w:eastAsia="cs-CZ"/>
        </w:rPr>
        <w:t xml:space="preserve">v účetnictví nebo </w:t>
      </w:r>
      <w:r w:rsidR="00B11606" w:rsidRPr="007F452A">
        <w:rPr>
          <w:rFonts w:ascii="Calibri" w:eastAsia="Times New Roman" w:hAnsi="Calibri" w:cs="Times New Roman"/>
          <w:sz w:val="24"/>
          <w:szCs w:val="24"/>
          <w:lang w:eastAsia="cs-CZ"/>
        </w:rPr>
        <w:t xml:space="preserve">v </w:t>
      </w:r>
      <w:r w:rsidRPr="007F452A">
        <w:rPr>
          <w:rFonts w:ascii="Calibri" w:eastAsia="Times New Roman" w:hAnsi="Calibri" w:cs="Times New Roman"/>
          <w:sz w:val="24"/>
          <w:szCs w:val="24"/>
          <w:lang w:eastAsia="cs-CZ"/>
        </w:rPr>
        <w:t>daňové evidenci odděleně, tzn. účtovat odděleně na samostatných analytických účtech nákladů, nebo vést poskytnutou dotaci odděleně v účetnictví formou samostatných středisek, popř. vést samostatný</w:t>
      </w:r>
      <w:r w:rsidRPr="00103AC5">
        <w:rPr>
          <w:rFonts w:ascii="Calibri" w:eastAsia="Times New Roman" w:hAnsi="Calibri" w:cs="Times New Roman"/>
          <w:sz w:val="24"/>
          <w:szCs w:val="24"/>
          <w:lang w:eastAsia="cs-CZ"/>
        </w:rPr>
        <w:t xml:space="preserve"> „peněžní deník“ pro přidělenou dotaci. </w:t>
      </w:r>
      <w:r w:rsidR="00F351C3" w:rsidRPr="00F351C3">
        <w:rPr>
          <w:rFonts w:ascii="Calibri" w:eastAsia="Times New Roman" w:hAnsi="Calibri" w:cs="Times New Roman"/>
          <w:sz w:val="24"/>
          <w:szCs w:val="24"/>
          <w:lang w:eastAsia="cs-CZ"/>
        </w:rPr>
        <w:t>Příjemce zabezpečí, aby účetní transakce související s</w:t>
      </w:r>
      <w:r w:rsidR="00A75C74">
        <w:rPr>
          <w:rFonts w:ascii="Calibri" w:eastAsia="Times New Roman" w:hAnsi="Calibri" w:cs="Times New Roman"/>
          <w:sz w:val="24"/>
          <w:szCs w:val="24"/>
          <w:lang w:eastAsia="cs-CZ"/>
        </w:rPr>
        <w:t> </w:t>
      </w:r>
      <w:r w:rsidR="00F351C3" w:rsidRPr="00F351C3">
        <w:rPr>
          <w:rFonts w:ascii="Calibri" w:eastAsia="Times New Roman" w:hAnsi="Calibri" w:cs="Times New Roman"/>
          <w:sz w:val="24"/>
          <w:szCs w:val="24"/>
          <w:lang w:eastAsia="cs-CZ"/>
        </w:rPr>
        <w:t>Projektem, resp. účelem dotace, byly odděleně identifikovatelné od ostatních účetních transakcí s Projektem nesouvisejících</w:t>
      </w:r>
      <w:r w:rsidR="00F351C3">
        <w:rPr>
          <w:rFonts w:ascii="Calibri" w:eastAsia="Times New Roman" w:hAnsi="Calibri" w:cs="Times New Roman"/>
          <w:sz w:val="24"/>
          <w:szCs w:val="24"/>
          <w:lang w:eastAsia="cs-CZ"/>
        </w:rPr>
        <w:t xml:space="preserve">. </w:t>
      </w:r>
      <w:r w:rsidRPr="00103AC5">
        <w:rPr>
          <w:rFonts w:ascii="Calibri" w:eastAsia="Times New Roman" w:hAnsi="Calibri" w:cs="Times New Roman"/>
          <w:sz w:val="24"/>
          <w:szCs w:val="24"/>
          <w:lang w:eastAsia="cs-CZ"/>
        </w:rPr>
        <w:t>Příjemce je povinen vést účetnictví popř. daňovou evidenci řádně v souladu s platnými právními předpisy.</w:t>
      </w:r>
      <w:r w:rsidR="00FA3364" w:rsidRPr="00103AC5">
        <w:rPr>
          <w:rFonts w:ascii="Calibri" w:eastAsia="Times New Roman" w:hAnsi="Calibri" w:cs="Times New Roman"/>
          <w:sz w:val="24"/>
          <w:szCs w:val="24"/>
          <w:lang w:eastAsia="cs-CZ"/>
        </w:rPr>
        <w:t xml:space="preserve"> V</w:t>
      </w:r>
      <w:r w:rsidR="00FA3364" w:rsidRPr="00103AC5">
        <w:rPr>
          <w:rFonts w:ascii="Calibri" w:hAnsi="Calibri" w:cs="Times New Roman"/>
          <w:sz w:val="24"/>
          <w:szCs w:val="24"/>
        </w:rPr>
        <w:t>ýdaj musí být ze strany příjemce skutečně zaplacen, tj. úhrada musí být doložena bankovními výpisy či</w:t>
      </w:r>
      <w:r w:rsidR="0019068D" w:rsidRPr="00103AC5">
        <w:rPr>
          <w:rFonts w:ascii="Calibri" w:hAnsi="Calibri" w:cs="Times New Roman"/>
          <w:sz w:val="24"/>
          <w:szCs w:val="24"/>
        </w:rPr>
        <w:t> </w:t>
      </w:r>
      <w:r w:rsidR="00FA3364" w:rsidRPr="00103AC5">
        <w:rPr>
          <w:rFonts w:ascii="Calibri" w:hAnsi="Calibri" w:cs="Times New Roman"/>
          <w:sz w:val="24"/>
          <w:szCs w:val="24"/>
        </w:rPr>
        <w:t xml:space="preserve"> výdajovými pokladními doklady.</w:t>
      </w:r>
    </w:p>
    <w:p w14:paraId="33FDC9A9" w14:textId="77777777" w:rsidR="0019068D" w:rsidRPr="00103AC5" w:rsidRDefault="0019068D" w:rsidP="00613BEE">
      <w:pPr>
        <w:pStyle w:val="Bezmezer"/>
        <w:ind w:left="397" w:hanging="397"/>
      </w:pPr>
    </w:p>
    <w:p w14:paraId="4949F978" w14:textId="4FDC9606" w:rsidR="0019068D" w:rsidRPr="00103AC5" w:rsidRDefault="00284212" w:rsidP="00613BEE">
      <w:pPr>
        <w:pStyle w:val="Bezmezer"/>
        <w:numPr>
          <w:ilvl w:val="0"/>
          <w:numId w:val="35"/>
        </w:numPr>
        <w:ind w:left="397" w:hanging="397"/>
        <w:jc w:val="both"/>
      </w:pPr>
      <w:r w:rsidRPr="00284212">
        <w:rPr>
          <w:rFonts w:ascii="Calibri" w:hAnsi="Calibri"/>
          <w:sz w:val="24"/>
          <w:szCs w:val="24"/>
        </w:rPr>
        <w:t xml:space="preserve">Náležitosti účetního dokladu jsou stanoveny zákonem o účetnictví. Daňové doklady používané pro prokazování způsobilosti musí splňovat náležitosti daňových dokladů stanovených zákonem č. 235/2004 Sb., o dani z přidané hodnoty, ve znění pozdějších předpisů. </w:t>
      </w:r>
      <w:r w:rsidR="00440E3F" w:rsidRPr="00284212">
        <w:rPr>
          <w:rFonts w:ascii="Calibri" w:eastAsia="Times New Roman" w:hAnsi="Calibri" w:cs="Times New Roman"/>
          <w:sz w:val="24"/>
          <w:szCs w:val="24"/>
          <w:lang w:eastAsia="cs-CZ"/>
        </w:rPr>
        <w:t>Příjemce dotace je povinen jednotlivé originály účetních dokladů označovat tak, aby bylo zřejmé, že se jedná o náklad (výd</w:t>
      </w:r>
      <w:r w:rsidR="0019068D" w:rsidRPr="00284212">
        <w:rPr>
          <w:rFonts w:ascii="Calibri" w:eastAsia="Times New Roman" w:hAnsi="Calibri" w:cs="Times New Roman"/>
          <w:sz w:val="24"/>
          <w:szCs w:val="24"/>
          <w:lang w:eastAsia="cs-CZ"/>
        </w:rPr>
        <w:t xml:space="preserve">aj) hrazený z poskytnuté dotace </w:t>
      </w:r>
      <w:r w:rsidR="00440E3F" w:rsidRPr="00284212">
        <w:rPr>
          <w:rFonts w:ascii="Calibri" w:eastAsia="Times New Roman" w:hAnsi="Calibri" w:cs="Times New Roman"/>
          <w:sz w:val="24"/>
          <w:szCs w:val="24"/>
          <w:lang w:eastAsia="cs-CZ"/>
        </w:rPr>
        <w:t xml:space="preserve">(v případě, že finanční částka uvedená na dokladu není hrazena z dotace v plné výši, je nutné uvést, jak vysoká finanční částka je z prostředků dotace hrazena). </w:t>
      </w:r>
      <w:r w:rsidR="00105A7D" w:rsidRPr="00284212">
        <w:rPr>
          <w:rFonts w:ascii="Calibri" w:eastAsia="Times New Roman" w:hAnsi="Calibri" w:cs="Times New Roman"/>
          <w:sz w:val="24"/>
          <w:szCs w:val="24"/>
          <w:lang w:eastAsia="cs-CZ"/>
        </w:rPr>
        <w:t>O</w:t>
      </w:r>
      <w:r w:rsidR="00440E3F" w:rsidRPr="00284212">
        <w:rPr>
          <w:rFonts w:ascii="Calibri" w:eastAsia="Times New Roman" w:hAnsi="Calibri" w:cs="Times New Roman"/>
          <w:sz w:val="24"/>
          <w:szCs w:val="24"/>
          <w:lang w:eastAsia="cs-CZ"/>
        </w:rPr>
        <w:t>riginály účetních dokladů budou označeny názvem</w:t>
      </w:r>
      <w:r w:rsidR="00082084" w:rsidRPr="00284212">
        <w:rPr>
          <w:rFonts w:ascii="Calibri" w:eastAsia="Times New Roman" w:hAnsi="Calibri" w:cs="Times New Roman"/>
          <w:sz w:val="24"/>
          <w:szCs w:val="24"/>
          <w:lang w:eastAsia="cs-CZ"/>
        </w:rPr>
        <w:t xml:space="preserve"> </w:t>
      </w:r>
      <w:r w:rsidR="00082084" w:rsidRPr="00284212">
        <w:rPr>
          <w:rFonts w:ascii="Calibri" w:hAnsi="Calibri" w:cs="Times New Roman"/>
          <w:bCs/>
          <w:color w:val="000000"/>
          <w:sz w:val="24"/>
          <w:szCs w:val="24"/>
        </w:rPr>
        <w:t>Dotační program projektu</w:t>
      </w:r>
      <w:r w:rsidR="00440E3F" w:rsidRPr="00284212">
        <w:rPr>
          <w:rFonts w:ascii="Calibri" w:eastAsia="Times New Roman" w:hAnsi="Calibri" w:cs="Times New Roman"/>
          <w:sz w:val="24"/>
          <w:szCs w:val="24"/>
          <w:lang w:eastAsia="cs-CZ"/>
        </w:rPr>
        <w:t xml:space="preserve"> a číslem smlouvy</w:t>
      </w:r>
      <w:r w:rsidR="00836D33" w:rsidRPr="00284212">
        <w:rPr>
          <w:rFonts w:ascii="Calibri" w:eastAsia="Times New Roman" w:hAnsi="Calibri" w:cs="Times New Roman"/>
          <w:sz w:val="24"/>
          <w:szCs w:val="24"/>
          <w:lang w:eastAsia="cs-CZ"/>
        </w:rPr>
        <w:t xml:space="preserve"> včetně dodatku</w:t>
      </w:r>
      <w:r w:rsidR="00440E3F" w:rsidRPr="00284212">
        <w:rPr>
          <w:rFonts w:ascii="Calibri" w:eastAsia="Times New Roman" w:hAnsi="Calibri" w:cs="Times New Roman"/>
          <w:sz w:val="24"/>
          <w:szCs w:val="24"/>
          <w:lang w:eastAsia="cs-CZ"/>
        </w:rPr>
        <w:t>.</w:t>
      </w:r>
      <w:r w:rsidR="00082084" w:rsidRPr="00284212">
        <w:rPr>
          <w:rFonts w:ascii="Calibri" w:eastAsia="Times New Roman" w:hAnsi="Calibri" w:cs="Times New Roman"/>
          <w:sz w:val="24"/>
          <w:szCs w:val="24"/>
          <w:lang w:eastAsia="cs-CZ"/>
        </w:rPr>
        <w:t xml:space="preserve"> Případně příjemce uvede ve svých </w:t>
      </w:r>
      <w:r w:rsidR="00082084" w:rsidRPr="00284212">
        <w:rPr>
          <w:rFonts w:ascii="Calibri" w:hAnsi="Calibri" w:cs="Times New Roman"/>
          <w:sz w:val="24"/>
          <w:szCs w:val="24"/>
        </w:rPr>
        <w:t>vnitřních směrnicích jednotné označování originálů účetních dokladů, které prokáže vazbu</w:t>
      </w:r>
      <w:r w:rsidR="00082084" w:rsidRPr="00284212">
        <w:rPr>
          <w:rFonts w:ascii="Calibri" w:eastAsia="Times New Roman" w:hAnsi="Calibri" w:cs="Times New Roman"/>
          <w:sz w:val="24"/>
          <w:szCs w:val="24"/>
          <w:lang w:eastAsia="cs-CZ"/>
        </w:rPr>
        <w:t xml:space="preserve"> mezi účetním dokladem a Projektem.</w:t>
      </w:r>
      <w:r w:rsidR="000C3021" w:rsidRPr="00284212">
        <w:rPr>
          <w:rFonts w:ascii="Calibri" w:eastAsia="Times New Roman" w:hAnsi="Calibri" w:cs="Times New Roman"/>
          <w:sz w:val="24"/>
          <w:szCs w:val="24"/>
          <w:lang w:eastAsia="cs-CZ"/>
        </w:rPr>
        <w:t xml:space="preserve"> Příjemce je dále povinen prokázat přímou vazbu mezi vynaložením způsobilého výdaje a</w:t>
      </w:r>
      <w:r w:rsidR="00EE6E17" w:rsidRPr="00284212">
        <w:rPr>
          <w:rFonts w:ascii="Calibri" w:eastAsia="Times New Roman" w:hAnsi="Calibri" w:cs="Times New Roman"/>
          <w:sz w:val="24"/>
          <w:szCs w:val="24"/>
          <w:lang w:eastAsia="cs-CZ"/>
        </w:rPr>
        <w:t xml:space="preserve"> P</w:t>
      </w:r>
      <w:r w:rsidR="000C3021" w:rsidRPr="00284212">
        <w:rPr>
          <w:rFonts w:ascii="Calibri" w:eastAsia="Times New Roman" w:hAnsi="Calibri" w:cs="Times New Roman"/>
          <w:sz w:val="24"/>
          <w:szCs w:val="24"/>
          <w:lang w:eastAsia="cs-CZ"/>
        </w:rPr>
        <w:t xml:space="preserve">rojektem. </w:t>
      </w:r>
      <w:r w:rsidR="000C3021" w:rsidRPr="00284212">
        <w:rPr>
          <w:rFonts w:ascii="Calibri" w:hAnsi="Calibri" w:cs="Times New Roman"/>
          <w:sz w:val="24"/>
          <w:szCs w:val="24"/>
        </w:rPr>
        <w:t>Výdaje/náklady by měly korespondovat s obvyklými cenami požadovanými za obdobná plnění v daném čase a místě a zároveň by měly být přiměřené k dosažení cíle projektu.</w:t>
      </w:r>
      <w:r w:rsidR="00FA3364" w:rsidRPr="00284212">
        <w:rPr>
          <w:rFonts w:ascii="Calibri" w:hAnsi="Calibri" w:cs="Times New Roman"/>
          <w:sz w:val="24"/>
          <w:szCs w:val="24"/>
        </w:rPr>
        <w:t xml:space="preserve"> N</w:t>
      </w:r>
      <w:r w:rsidR="00FA3364" w:rsidRPr="00284212">
        <w:rPr>
          <w:rFonts w:ascii="Calibri" w:hAnsi="Calibri" w:cs="Times New Roman"/>
          <w:color w:val="000000"/>
          <w:sz w:val="24"/>
          <w:szCs w:val="24"/>
        </w:rPr>
        <w:t xml:space="preserve">áklady se musí týkat doby realizace </w:t>
      </w:r>
      <w:r w:rsidR="00C77B5C" w:rsidRPr="00284212">
        <w:rPr>
          <w:rFonts w:ascii="Calibri" w:hAnsi="Calibri" w:cs="Times New Roman"/>
          <w:color w:val="000000"/>
          <w:sz w:val="24"/>
          <w:szCs w:val="24"/>
        </w:rPr>
        <w:t>P</w:t>
      </w:r>
      <w:r w:rsidR="00FA3364" w:rsidRPr="00284212">
        <w:rPr>
          <w:rFonts w:ascii="Calibri" w:hAnsi="Calibri" w:cs="Times New Roman"/>
          <w:color w:val="000000"/>
          <w:sz w:val="24"/>
          <w:szCs w:val="24"/>
        </w:rPr>
        <w:t>rojektu, toto musí být u výdajů prokazovaných v</w:t>
      </w:r>
      <w:r w:rsidR="0019068D" w:rsidRPr="00284212">
        <w:rPr>
          <w:rFonts w:ascii="Calibri" w:hAnsi="Calibri" w:cs="Times New Roman"/>
          <w:color w:val="000000"/>
          <w:sz w:val="24"/>
          <w:szCs w:val="24"/>
        </w:rPr>
        <w:t> </w:t>
      </w:r>
      <w:r w:rsidR="00FA3364" w:rsidRPr="00284212">
        <w:rPr>
          <w:rFonts w:ascii="Calibri" w:hAnsi="Calibri" w:cs="Times New Roman"/>
          <w:color w:val="000000"/>
          <w:sz w:val="24"/>
          <w:szCs w:val="24"/>
        </w:rPr>
        <w:t xml:space="preserve"> režimu skutečně prokazovaných výdajů ověřitelné. Datum vzniku nákladu, které je uvedeno na příslušném účetním dokladu, musí s</w:t>
      </w:r>
      <w:r w:rsidR="00D12C62" w:rsidRPr="00284212">
        <w:rPr>
          <w:rFonts w:ascii="Calibri" w:hAnsi="Calibri" w:cs="Times New Roman"/>
          <w:color w:val="000000"/>
          <w:sz w:val="24"/>
          <w:szCs w:val="24"/>
        </w:rPr>
        <w:t xml:space="preserve">padat do období </w:t>
      </w:r>
      <w:r w:rsidR="00607728" w:rsidRPr="00284212">
        <w:rPr>
          <w:rFonts w:ascii="Calibri" w:hAnsi="Calibri" w:cs="Times New Roman"/>
          <w:color w:val="000000"/>
          <w:sz w:val="24"/>
          <w:szCs w:val="24"/>
        </w:rPr>
        <w:t xml:space="preserve">1. 1. </w:t>
      </w:r>
      <w:r w:rsidR="00D12C62" w:rsidRPr="00284212">
        <w:rPr>
          <w:rFonts w:ascii="Calibri" w:hAnsi="Calibri" w:cs="Times New Roman"/>
          <w:color w:val="000000"/>
          <w:sz w:val="24"/>
          <w:szCs w:val="24"/>
        </w:rPr>
        <w:t>201</w:t>
      </w:r>
      <w:r w:rsidR="00082084" w:rsidRPr="00284212">
        <w:rPr>
          <w:rFonts w:ascii="Calibri" w:hAnsi="Calibri" w:cs="Times New Roman"/>
          <w:color w:val="000000"/>
          <w:sz w:val="24"/>
          <w:szCs w:val="24"/>
        </w:rPr>
        <w:t>9</w:t>
      </w:r>
      <w:r w:rsidR="00D12C62" w:rsidRPr="00284212">
        <w:rPr>
          <w:rFonts w:ascii="Calibri" w:hAnsi="Calibri" w:cs="Times New Roman"/>
          <w:color w:val="000000"/>
          <w:sz w:val="24"/>
          <w:szCs w:val="24"/>
        </w:rPr>
        <w:t xml:space="preserve"> </w:t>
      </w:r>
      <w:r w:rsidR="007C4924">
        <w:rPr>
          <w:rFonts w:ascii="Calibri" w:hAnsi="Calibri" w:cs="Times New Roman"/>
          <w:color w:val="000000"/>
          <w:sz w:val="24"/>
          <w:szCs w:val="24"/>
        </w:rPr>
        <w:t>-</w:t>
      </w:r>
      <w:r w:rsidR="00D12C62" w:rsidRPr="00284212">
        <w:rPr>
          <w:rFonts w:ascii="Calibri" w:hAnsi="Calibri" w:cs="Times New Roman"/>
          <w:color w:val="000000"/>
          <w:sz w:val="24"/>
          <w:szCs w:val="24"/>
        </w:rPr>
        <w:t xml:space="preserve"> </w:t>
      </w:r>
      <w:r w:rsidR="00607728" w:rsidRPr="00284212">
        <w:rPr>
          <w:rFonts w:ascii="Calibri" w:hAnsi="Calibri" w:cs="Times New Roman"/>
          <w:color w:val="000000"/>
          <w:sz w:val="24"/>
          <w:szCs w:val="24"/>
        </w:rPr>
        <w:t xml:space="preserve">31. 12. </w:t>
      </w:r>
      <w:r w:rsidR="00D12C62" w:rsidRPr="00284212">
        <w:rPr>
          <w:rFonts w:ascii="Calibri" w:hAnsi="Calibri" w:cs="Times New Roman"/>
          <w:color w:val="000000"/>
          <w:sz w:val="24"/>
          <w:szCs w:val="24"/>
        </w:rPr>
        <w:t>20</w:t>
      </w:r>
      <w:r w:rsidR="00082084" w:rsidRPr="00284212">
        <w:rPr>
          <w:rFonts w:ascii="Calibri" w:hAnsi="Calibri" w:cs="Times New Roman"/>
          <w:color w:val="000000"/>
          <w:sz w:val="24"/>
          <w:szCs w:val="24"/>
        </w:rPr>
        <w:t>21</w:t>
      </w:r>
      <w:r w:rsidR="00D12C62" w:rsidRPr="00284212">
        <w:rPr>
          <w:rFonts w:ascii="Calibri" w:hAnsi="Calibri" w:cs="Times New Roman"/>
          <w:color w:val="000000"/>
          <w:sz w:val="24"/>
          <w:szCs w:val="24"/>
        </w:rPr>
        <w:t>.</w:t>
      </w:r>
    </w:p>
    <w:p w14:paraId="77C716C5" w14:textId="6C856E42" w:rsidR="0019068D" w:rsidRPr="00103AC5" w:rsidRDefault="0019068D" w:rsidP="00613BEE">
      <w:pPr>
        <w:pStyle w:val="Bezmezer"/>
        <w:ind w:left="397" w:hanging="397"/>
        <w:jc w:val="both"/>
      </w:pPr>
    </w:p>
    <w:p w14:paraId="2BC175AF" w14:textId="77777777" w:rsidR="00440E3F" w:rsidRPr="00103AC5" w:rsidRDefault="00440E3F" w:rsidP="00613BEE">
      <w:pPr>
        <w:pStyle w:val="Bezmezer"/>
        <w:numPr>
          <w:ilvl w:val="0"/>
          <w:numId w:val="35"/>
        </w:numPr>
        <w:ind w:left="397" w:hanging="397"/>
        <w:jc w:val="both"/>
        <w:rPr>
          <w:rFonts w:ascii="Calibri" w:eastAsia="Times New Roman" w:hAnsi="Calibri" w:cs="Times New Roman"/>
          <w:sz w:val="24"/>
          <w:szCs w:val="24"/>
          <w:lang w:eastAsia="cs-CZ"/>
        </w:rPr>
      </w:pPr>
      <w:r w:rsidRPr="00103AC5">
        <w:rPr>
          <w:rFonts w:ascii="Calibri" w:eastAsia="Times New Roman" w:hAnsi="Calibri" w:cs="Times New Roman"/>
          <w:sz w:val="24"/>
          <w:szCs w:val="24"/>
          <w:lang w:eastAsia="cs-CZ"/>
        </w:rPr>
        <w:t>Zálohová faktura se nepovažuje za podklad k závěrečnému vyúčtování.</w:t>
      </w:r>
    </w:p>
    <w:p w14:paraId="37CC86A1" w14:textId="77777777" w:rsidR="0019068D" w:rsidRPr="00103AC5" w:rsidRDefault="0019068D" w:rsidP="00613BEE">
      <w:pPr>
        <w:pStyle w:val="Bezmezer"/>
        <w:ind w:left="397" w:hanging="397"/>
      </w:pPr>
    </w:p>
    <w:p w14:paraId="3C558FFA" w14:textId="77777777" w:rsidR="00440E3F" w:rsidRPr="00103AC5" w:rsidRDefault="00440E3F" w:rsidP="00613BEE">
      <w:pPr>
        <w:pStyle w:val="Bezmezer"/>
        <w:numPr>
          <w:ilvl w:val="0"/>
          <w:numId w:val="35"/>
        </w:numPr>
        <w:ind w:left="397" w:hanging="397"/>
        <w:jc w:val="both"/>
        <w:rPr>
          <w:rFonts w:ascii="Calibri" w:eastAsia="Times New Roman" w:hAnsi="Calibri" w:cs="Times New Roman"/>
          <w:sz w:val="24"/>
          <w:szCs w:val="24"/>
          <w:lang w:eastAsia="cs-CZ"/>
        </w:rPr>
      </w:pPr>
      <w:r w:rsidRPr="00103AC5">
        <w:rPr>
          <w:rFonts w:ascii="Calibri" w:eastAsia="Times New Roman" w:hAnsi="Calibri" w:cs="Times New Roman"/>
          <w:sz w:val="24"/>
          <w:szCs w:val="24"/>
          <w:lang w:eastAsia="cs-CZ"/>
        </w:rPr>
        <w:t>Příjemce dotace v případě, že získá dotaci na poskytování více služeb, nesmí převádět dotační prostředky mezi těmito službami.</w:t>
      </w:r>
    </w:p>
    <w:p w14:paraId="39813A38" w14:textId="77777777" w:rsidR="0019068D" w:rsidRPr="00103AC5" w:rsidRDefault="0019068D" w:rsidP="00613BEE">
      <w:pPr>
        <w:pStyle w:val="Bezmezer"/>
        <w:ind w:left="397" w:hanging="397"/>
      </w:pPr>
    </w:p>
    <w:p w14:paraId="2DA34C5D" w14:textId="3C59CB84" w:rsidR="00440E3F" w:rsidRPr="00C809A8" w:rsidRDefault="00440E3F" w:rsidP="00613BEE">
      <w:pPr>
        <w:pStyle w:val="Bezmezer"/>
        <w:numPr>
          <w:ilvl w:val="0"/>
          <w:numId w:val="35"/>
        </w:numPr>
        <w:ind w:left="397" w:hanging="397"/>
        <w:jc w:val="both"/>
        <w:rPr>
          <w:rFonts w:ascii="Calibri" w:hAnsi="Calibri"/>
          <w:sz w:val="24"/>
          <w:szCs w:val="24"/>
        </w:rPr>
      </w:pPr>
      <w:r w:rsidRPr="00C809A8">
        <w:rPr>
          <w:rFonts w:ascii="Calibri" w:hAnsi="Calibri"/>
          <w:sz w:val="24"/>
          <w:szCs w:val="24"/>
        </w:rPr>
        <w:t>Použití dotace podléhá veřejnosprávní kontrole (dále jen „</w:t>
      </w:r>
      <w:r w:rsidR="00A67C86" w:rsidRPr="00C809A8">
        <w:rPr>
          <w:rFonts w:ascii="Calibri" w:hAnsi="Calibri"/>
          <w:sz w:val="24"/>
          <w:szCs w:val="24"/>
        </w:rPr>
        <w:t>k</w:t>
      </w:r>
      <w:r w:rsidRPr="00C809A8">
        <w:rPr>
          <w:rFonts w:ascii="Calibri" w:hAnsi="Calibri"/>
          <w:sz w:val="24"/>
          <w:szCs w:val="24"/>
        </w:rPr>
        <w:t>ontrol</w:t>
      </w:r>
      <w:r w:rsidR="00A67C86" w:rsidRPr="00C809A8">
        <w:rPr>
          <w:rFonts w:ascii="Calibri" w:hAnsi="Calibri"/>
          <w:sz w:val="24"/>
          <w:szCs w:val="24"/>
        </w:rPr>
        <w:t>a</w:t>
      </w:r>
      <w:r w:rsidRPr="00C809A8">
        <w:rPr>
          <w:rFonts w:ascii="Calibri" w:hAnsi="Calibri"/>
          <w:sz w:val="24"/>
          <w:szCs w:val="24"/>
        </w:rPr>
        <w:t xml:space="preserve">“) podle zákona č. 320/2001 Sb., o finanční kontrole ve veřejné správě a o změně některých zákonů (zákon o finanční kontrole). Příjemce dotace je povinen umožnit poskytovateli dotace </w:t>
      </w:r>
      <w:r w:rsidR="00FD66D8" w:rsidRPr="00C809A8">
        <w:rPr>
          <w:rFonts w:ascii="Calibri" w:hAnsi="Calibri"/>
          <w:sz w:val="24"/>
          <w:szCs w:val="24"/>
        </w:rPr>
        <w:t>a</w:t>
      </w:r>
      <w:r w:rsidR="0019068D" w:rsidRPr="00C809A8">
        <w:rPr>
          <w:rFonts w:ascii="Calibri" w:hAnsi="Calibri"/>
          <w:sz w:val="24"/>
          <w:szCs w:val="24"/>
        </w:rPr>
        <w:t> </w:t>
      </w:r>
      <w:r w:rsidR="00FD66D8" w:rsidRPr="00C809A8">
        <w:rPr>
          <w:rFonts w:ascii="Calibri" w:hAnsi="Calibri"/>
          <w:sz w:val="24"/>
          <w:szCs w:val="24"/>
        </w:rPr>
        <w:t xml:space="preserve"> všem oprávněným subjektům </w:t>
      </w:r>
      <w:r w:rsidRPr="00C809A8">
        <w:rPr>
          <w:rFonts w:ascii="Calibri" w:hAnsi="Calibri"/>
          <w:sz w:val="24"/>
          <w:szCs w:val="24"/>
        </w:rPr>
        <w:t>kontrolu, poskytnout k tomuto účelu</w:t>
      </w:r>
      <w:r w:rsidR="00284212">
        <w:rPr>
          <w:rFonts w:ascii="Calibri" w:hAnsi="Calibri"/>
          <w:sz w:val="24"/>
          <w:szCs w:val="24"/>
        </w:rPr>
        <w:t xml:space="preserve"> součinnost a</w:t>
      </w:r>
      <w:r w:rsidRPr="00C809A8">
        <w:rPr>
          <w:rFonts w:ascii="Calibri" w:hAnsi="Calibri"/>
          <w:sz w:val="24"/>
          <w:szCs w:val="24"/>
        </w:rPr>
        <w:t xml:space="preserve"> veškerou potřebnou dokumentaci, včetně finančních a statistických výkazů, hlášení a zpráv, a umožnit kontrolu originálních účetních písemností, vztahujících se k účtování dotace.</w:t>
      </w:r>
    </w:p>
    <w:p w14:paraId="6CB55357" w14:textId="77777777" w:rsidR="0019068D" w:rsidRPr="00103AC5" w:rsidRDefault="0019068D" w:rsidP="00613BEE">
      <w:pPr>
        <w:pStyle w:val="Bezmezer"/>
        <w:ind w:left="397" w:hanging="397"/>
      </w:pPr>
    </w:p>
    <w:p w14:paraId="034B1C5B" w14:textId="77777777" w:rsidR="00440E3F" w:rsidRPr="00103AC5" w:rsidRDefault="00440E3F" w:rsidP="00613BEE">
      <w:pPr>
        <w:pStyle w:val="Bezmezer"/>
        <w:numPr>
          <w:ilvl w:val="0"/>
          <w:numId w:val="35"/>
        </w:numPr>
        <w:ind w:left="397" w:hanging="397"/>
        <w:jc w:val="both"/>
        <w:rPr>
          <w:rFonts w:ascii="Calibri" w:eastAsia="Times New Roman" w:hAnsi="Calibri" w:cs="Times New Roman"/>
          <w:sz w:val="24"/>
          <w:szCs w:val="24"/>
          <w:lang w:eastAsia="cs-CZ"/>
        </w:rPr>
      </w:pPr>
      <w:r w:rsidRPr="00103AC5">
        <w:rPr>
          <w:rFonts w:ascii="Calibri" w:eastAsia="Times New Roman" w:hAnsi="Calibri" w:cs="Times New Roman"/>
          <w:sz w:val="24"/>
          <w:szCs w:val="24"/>
          <w:lang w:eastAsia="cs-CZ"/>
        </w:rPr>
        <w:t xml:space="preserve">Příjemce dotace je povinen na </w:t>
      </w:r>
      <w:r w:rsidR="00D56239" w:rsidRPr="00103AC5">
        <w:rPr>
          <w:rFonts w:ascii="Calibri" w:eastAsia="Times New Roman" w:hAnsi="Calibri" w:cs="Times New Roman"/>
          <w:sz w:val="24"/>
          <w:szCs w:val="24"/>
          <w:lang w:eastAsia="cs-CZ"/>
        </w:rPr>
        <w:t>základě výzvy</w:t>
      </w:r>
      <w:r w:rsidRPr="00103AC5">
        <w:rPr>
          <w:rFonts w:ascii="Calibri" w:eastAsia="Times New Roman" w:hAnsi="Calibri" w:cs="Times New Roman"/>
          <w:sz w:val="24"/>
          <w:szCs w:val="24"/>
          <w:lang w:eastAsia="cs-CZ"/>
        </w:rPr>
        <w:t xml:space="preserve"> </w:t>
      </w:r>
      <w:r w:rsidR="00D56239" w:rsidRPr="00103AC5">
        <w:rPr>
          <w:rFonts w:ascii="Calibri" w:eastAsia="Times New Roman" w:hAnsi="Calibri" w:cs="Times New Roman"/>
          <w:sz w:val="24"/>
          <w:szCs w:val="24"/>
          <w:lang w:eastAsia="cs-CZ"/>
        </w:rPr>
        <w:t>HMP</w:t>
      </w:r>
      <w:r w:rsidRPr="00103AC5">
        <w:rPr>
          <w:rFonts w:ascii="Calibri" w:eastAsia="Times New Roman" w:hAnsi="Calibri" w:cs="Times New Roman"/>
          <w:sz w:val="24"/>
          <w:szCs w:val="24"/>
          <w:lang w:eastAsia="cs-CZ"/>
        </w:rPr>
        <w:t xml:space="preserve"> </w:t>
      </w:r>
      <w:r w:rsidR="00FD66D8" w:rsidRPr="00103AC5">
        <w:rPr>
          <w:rFonts w:ascii="Calibri" w:eastAsia="Times New Roman" w:hAnsi="Calibri" w:cs="Times New Roman"/>
          <w:sz w:val="24"/>
          <w:szCs w:val="24"/>
          <w:lang w:eastAsia="cs-CZ"/>
        </w:rPr>
        <w:t xml:space="preserve">a všech oprávněných subjektů </w:t>
      </w:r>
      <w:r w:rsidRPr="00103AC5">
        <w:rPr>
          <w:rFonts w:ascii="Calibri" w:eastAsia="Times New Roman" w:hAnsi="Calibri" w:cs="Times New Roman"/>
          <w:sz w:val="24"/>
          <w:szCs w:val="24"/>
          <w:lang w:eastAsia="cs-CZ"/>
        </w:rPr>
        <w:t>bezodkladně písemně poskytnout požadované upřesňující informace související s</w:t>
      </w:r>
      <w:r w:rsidR="0064690F" w:rsidRPr="00103AC5">
        <w:rPr>
          <w:rFonts w:ascii="Calibri" w:eastAsia="Times New Roman" w:hAnsi="Calibri" w:cs="Times New Roman"/>
          <w:sz w:val="24"/>
          <w:szCs w:val="24"/>
          <w:lang w:eastAsia="cs-CZ"/>
        </w:rPr>
        <w:t> </w:t>
      </w:r>
      <w:r w:rsidRPr="00103AC5">
        <w:rPr>
          <w:rFonts w:ascii="Calibri" w:eastAsia="Times New Roman" w:hAnsi="Calibri" w:cs="Times New Roman"/>
          <w:sz w:val="24"/>
          <w:szCs w:val="24"/>
          <w:lang w:eastAsia="cs-CZ"/>
        </w:rPr>
        <w:t xml:space="preserve"> poskytovanými službami.</w:t>
      </w:r>
    </w:p>
    <w:p w14:paraId="738B8A53" w14:textId="77777777" w:rsidR="0019068D" w:rsidRPr="00103AC5" w:rsidRDefault="0019068D" w:rsidP="00613BEE">
      <w:pPr>
        <w:pStyle w:val="Bezmezer"/>
        <w:ind w:left="397" w:hanging="397"/>
      </w:pPr>
    </w:p>
    <w:p w14:paraId="4B4685FE" w14:textId="77777777" w:rsidR="006C648F" w:rsidRPr="00D97E46" w:rsidRDefault="00D56239" w:rsidP="00613BEE">
      <w:pPr>
        <w:pStyle w:val="Bezmezer"/>
        <w:numPr>
          <w:ilvl w:val="0"/>
          <w:numId w:val="35"/>
        </w:numPr>
        <w:ind w:left="397" w:hanging="397"/>
        <w:jc w:val="both"/>
        <w:rPr>
          <w:rFonts w:ascii="Calibri" w:eastAsia="Times New Roman" w:hAnsi="Calibri" w:cs="Times New Roman"/>
          <w:sz w:val="24"/>
          <w:szCs w:val="24"/>
          <w:lang w:eastAsia="cs-CZ"/>
        </w:rPr>
      </w:pPr>
      <w:r w:rsidRPr="00D97E46">
        <w:rPr>
          <w:rFonts w:ascii="Calibri" w:eastAsia="Times New Roman" w:hAnsi="Calibri" w:cs="Times New Roman"/>
          <w:sz w:val="24"/>
          <w:szCs w:val="24"/>
          <w:lang w:eastAsia="cs-CZ"/>
        </w:rPr>
        <w:t>Příjemce dotace je povinen na základě výzvy HMP zaslat přehled o čerpání dotace na jednotlivé sociální služby a požadované podklady k čerpání dotace.</w:t>
      </w:r>
    </w:p>
    <w:p w14:paraId="21D485B9" w14:textId="77777777" w:rsidR="00D97E46" w:rsidRPr="009E2B07" w:rsidRDefault="00D97E46" w:rsidP="00613BEE">
      <w:pPr>
        <w:pStyle w:val="Bezmezer"/>
        <w:ind w:left="397" w:hanging="397"/>
      </w:pPr>
    </w:p>
    <w:p w14:paraId="3F834D86" w14:textId="77777777" w:rsidR="003D5156" w:rsidRDefault="00D97E46" w:rsidP="00613BEE">
      <w:pPr>
        <w:pStyle w:val="Bezmezer"/>
        <w:numPr>
          <w:ilvl w:val="0"/>
          <w:numId w:val="35"/>
        </w:numPr>
        <w:ind w:left="397" w:hanging="397"/>
        <w:jc w:val="both"/>
        <w:rPr>
          <w:rFonts w:ascii="Calibri" w:hAnsi="Calibri"/>
          <w:sz w:val="24"/>
          <w:szCs w:val="24"/>
        </w:rPr>
      </w:pPr>
      <w:r w:rsidRPr="00C809A8">
        <w:rPr>
          <w:rFonts w:ascii="Calibri" w:hAnsi="Calibri"/>
          <w:sz w:val="24"/>
          <w:szCs w:val="24"/>
        </w:rPr>
        <w:t>O změny v Žádosti týkající se rozpočtu poskytované služby v rámci roku je žadatel povinen písemně požádat ZSP na předepsaném formuláři (viz příloha č. 4 Dotačního programu</w:t>
      </w:r>
      <w:r w:rsidR="003D5156">
        <w:rPr>
          <w:rFonts w:ascii="Calibri" w:hAnsi="Calibri"/>
          <w:sz w:val="24"/>
          <w:szCs w:val="24"/>
        </w:rPr>
        <w:t xml:space="preserve"> </w:t>
      </w:r>
    </w:p>
    <w:p w14:paraId="1A084EBE" w14:textId="77777777" w:rsidR="003D5156" w:rsidRDefault="003D5156" w:rsidP="00613BEE">
      <w:pPr>
        <w:pStyle w:val="Bezmezer"/>
      </w:pPr>
    </w:p>
    <w:p w14:paraId="711ADD86" w14:textId="5C74382C" w:rsidR="00D97E46" w:rsidRPr="003D5156" w:rsidRDefault="00D97E46" w:rsidP="00613BEE">
      <w:pPr>
        <w:pStyle w:val="Bezmezer"/>
        <w:ind w:left="397"/>
        <w:jc w:val="both"/>
        <w:rPr>
          <w:rFonts w:ascii="Calibri" w:hAnsi="Calibri"/>
          <w:sz w:val="24"/>
          <w:szCs w:val="24"/>
        </w:rPr>
      </w:pPr>
      <w:r w:rsidRPr="003D5156">
        <w:rPr>
          <w:rFonts w:ascii="Calibri" w:hAnsi="Calibri"/>
          <w:sz w:val="24"/>
          <w:szCs w:val="24"/>
        </w:rPr>
        <w:lastRenderedPageBreak/>
        <w:t xml:space="preserve">projektu), v nejbližším možném termínu.  Změnu rozpočtu a změnu v čerpání na jednotlivých položkách rozpočtu </w:t>
      </w:r>
      <w:r w:rsidRPr="003D5156">
        <w:rPr>
          <w:rFonts w:ascii="Calibri" w:hAnsi="Calibri"/>
          <w:bCs/>
          <w:sz w:val="24"/>
          <w:szCs w:val="24"/>
        </w:rPr>
        <w:t>může žadatel realizovat pouze na základě písemného souhlasu odboru ZSP.</w:t>
      </w:r>
    </w:p>
    <w:p w14:paraId="2EB15D49" w14:textId="77777777" w:rsidR="00D97E46" w:rsidRPr="00C809A8" w:rsidRDefault="00D97E46" w:rsidP="00613BEE">
      <w:pPr>
        <w:pStyle w:val="Bezmezer"/>
        <w:ind w:left="397" w:hanging="397"/>
        <w:jc w:val="both"/>
        <w:rPr>
          <w:rFonts w:ascii="Calibri" w:hAnsi="Calibri"/>
          <w:sz w:val="24"/>
          <w:szCs w:val="24"/>
        </w:rPr>
      </w:pPr>
    </w:p>
    <w:p w14:paraId="655479E2" w14:textId="7BCD4B74" w:rsidR="00D97E46" w:rsidRPr="00C809A8" w:rsidRDefault="00D97E46" w:rsidP="00613BEE">
      <w:pPr>
        <w:pStyle w:val="Bezmezer"/>
        <w:numPr>
          <w:ilvl w:val="0"/>
          <w:numId w:val="35"/>
        </w:numPr>
        <w:ind w:left="397" w:hanging="397"/>
        <w:jc w:val="both"/>
        <w:rPr>
          <w:rFonts w:ascii="Calibri" w:hAnsi="Calibri"/>
          <w:sz w:val="24"/>
          <w:szCs w:val="24"/>
        </w:rPr>
      </w:pPr>
      <w:r w:rsidRPr="00C809A8">
        <w:rPr>
          <w:rFonts w:ascii="Calibri" w:hAnsi="Calibri"/>
          <w:sz w:val="24"/>
          <w:szCs w:val="24"/>
        </w:rPr>
        <w:t>O veškerých dalších změnách údajů uváděných v předložené Žádosti je žadatel povinen písemně informovat na předepsaném formuláři (viz příloha č. 6</w:t>
      </w:r>
      <w:r>
        <w:rPr>
          <w:rFonts w:ascii="Calibri" w:hAnsi="Calibri"/>
          <w:sz w:val="24"/>
          <w:szCs w:val="24"/>
        </w:rPr>
        <w:t xml:space="preserve"> </w:t>
      </w:r>
      <w:r w:rsidRPr="00C809A8">
        <w:rPr>
          <w:rFonts w:ascii="Calibri" w:hAnsi="Calibri"/>
          <w:sz w:val="24"/>
          <w:szCs w:val="24"/>
        </w:rPr>
        <w:t xml:space="preserve">Dotačního programu projektu) odbor ZSP nejpozději do 14 dnů od jejich vzniku a projednat případné další změny se ZSP.  </w:t>
      </w:r>
    </w:p>
    <w:p w14:paraId="6B8F4B25" w14:textId="77777777" w:rsidR="0019068D" w:rsidRPr="00D97E46" w:rsidRDefault="0019068D" w:rsidP="00613BEE">
      <w:pPr>
        <w:pStyle w:val="Bezmezer"/>
        <w:ind w:left="397" w:hanging="397"/>
      </w:pPr>
    </w:p>
    <w:p w14:paraId="7342BD87" w14:textId="77777777" w:rsidR="00440E3F" w:rsidRPr="00103AC5" w:rsidRDefault="00440E3F" w:rsidP="00613BEE">
      <w:pPr>
        <w:pStyle w:val="Bezmezer"/>
        <w:numPr>
          <w:ilvl w:val="0"/>
          <w:numId w:val="35"/>
        </w:numPr>
        <w:ind w:left="397" w:hanging="397"/>
        <w:jc w:val="both"/>
        <w:rPr>
          <w:rFonts w:ascii="Calibri" w:eastAsia="Times New Roman" w:hAnsi="Calibri" w:cs="Times New Roman"/>
          <w:sz w:val="24"/>
          <w:szCs w:val="24"/>
          <w:lang w:eastAsia="cs-CZ"/>
        </w:rPr>
      </w:pPr>
      <w:r w:rsidRPr="00D97E46">
        <w:rPr>
          <w:rFonts w:ascii="Calibri" w:eastAsia="Times New Roman" w:hAnsi="Calibri" w:cs="Times New Roman"/>
          <w:sz w:val="24"/>
          <w:szCs w:val="24"/>
          <w:lang w:eastAsia="cs-CZ"/>
        </w:rPr>
        <w:t xml:space="preserve">Příjemce dotace se zavazuje vrátit poskytovateli dotace bez zbytečného odkladu dotaci/alikvotní část v případě </w:t>
      </w:r>
      <w:r w:rsidR="0064690F" w:rsidRPr="00D97E46">
        <w:rPr>
          <w:rFonts w:ascii="Calibri" w:eastAsia="Times New Roman" w:hAnsi="Calibri" w:cs="Times New Roman"/>
          <w:sz w:val="24"/>
          <w:szCs w:val="24"/>
          <w:lang w:eastAsia="cs-CZ"/>
        </w:rPr>
        <w:t xml:space="preserve">nerealizování </w:t>
      </w:r>
      <w:r w:rsidRPr="00D97E46">
        <w:rPr>
          <w:rFonts w:ascii="Calibri" w:eastAsia="Times New Roman" w:hAnsi="Calibri" w:cs="Times New Roman"/>
          <w:sz w:val="24"/>
          <w:szCs w:val="24"/>
          <w:lang w:eastAsia="cs-CZ"/>
        </w:rPr>
        <w:t>nebo předčasného ukončení sociální služby, v</w:t>
      </w:r>
      <w:r w:rsidR="0064690F" w:rsidRPr="009E2B07">
        <w:rPr>
          <w:rFonts w:ascii="Calibri" w:eastAsia="Times New Roman" w:hAnsi="Calibri" w:cs="Times New Roman"/>
          <w:sz w:val="24"/>
          <w:szCs w:val="24"/>
          <w:lang w:eastAsia="cs-CZ"/>
        </w:rPr>
        <w:t> </w:t>
      </w:r>
      <w:r w:rsidRPr="009E2B07">
        <w:rPr>
          <w:rFonts w:ascii="Calibri" w:eastAsia="Times New Roman" w:hAnsi="Calibri" w:cs="Times New Roman"/>
          <w:sz w:val="24"/>
          <w:szCs w:val="24"/>
          <w:lang w:eastAsia="cs-CZ"/>
        </w:rPr>
        <w:t xml:space="preserve"> případě použití dotace v rozporu s právními předpisy</w:t>
      </w:r>
      <w:r w:rsidR="00254436" w:rsidRPr="00D97E46">
        <w:rPr>
          <w:rFonts w:ascii="Calibri" w:eastAsia="Times New Roman" w:hAnsi="Calibri" w:cs="Times New Roman"/>
          <w:sz w:val="24"/>
          <w:szCs w:val="24"/>
          <w:lang w:eastAsia="cs-CZ"/>
        </w:rPr>
        <w:t>,</w:t>
      </w:r>
      <w:r w:rsidRPr="00D97E46">
        <w:rPr>
          <w:rFonts w:ascii="Calibri" w:eastAsia="Times New Roman" w:hAnsi="Calibri" w:cs="Times New Roman"/>
          <w:sz w:val="24"/>
          <w:szCs w:val="24"/>
          <w:lang w:eastAsia="cs-CZ"/>
        </w:rPr>
        <w:t xml:space="preserve"> </w:t>
      </w:r>
      <w:r w:rsidR="00FC21B8" w:rsidRPr="00D97E46">
        <w:rPr>
          <w:rFonts w:ascii="Calibri" w:eastAsia="Times New Roman" w:hAnsi="Calibri" w:cs="Times New Roman"/>
          <w:sz w:val="24"/>
          <w:szCs w:val="24"/>
          <w:lang w:eastAsia="cs-CZ"/>
        </w:rPr>
        <w:t xml:space="preserve">se </w:t>
      </w:r>
      <w:r w:rsidRPr="00D97E46">
        <w:rPr>
          <w:rFonts w:ascii="Calibri" w:eastAsia="Times New Roman" w:hAnsi="Calibri" w:cs="Times New Roman"/>
          <w:sz w:val="24"/>
          <w:szCs w:val="24"/>
          <w:lang w:eastAsia="cs-CZ"/>
        </w:rPr>
        <w:t>smlouvou</w:t>
      </w:r>
      <w:r w:rsidR="00B669DA" w:rsidRPr="00D97E46">
        <w:rPr>
          <w:rFonts w:ascii="Calibri" w:eastAsia="Times New Roman" w:hAnsi="Calibri" w:cs="Times New Roman"/>
          <w:sz w:val="24"/>
          <w:szCs w:val="24"/>
          <w:lang w:eastAsia="cs-CZ"/>
        </w:rPr>
        <w:t>/dodatkem ke</w:t>
      </w:r>
      <w:r w:rsidR="00B669DA" w:rsidRPr="00103AC5">
        <w:rPr>
          <w:rFonts w:ascii="Calibri" w:eastAsia="Times New Roman" w:hAnsi="Calibri" w:cs="Times New Roman"/>
          <w:sz w:val="24"/>
          <w:szCs w:val="24"/>
          <w:lang w:eastAsia="cs-CZ"/>
        </w:rPr>
        <w:t xml:space="preserve"> smlouvě</w:t>
      </w:r>
      <w:r w:rsidR="00254436" w:rsidRPr="00103AC5">
        <w:rPr>
          <w:rFonts w:ascii="Calibri" w:eastAsia="Times New Roman" w:hAnsi="Calibri" w:cs="Times New Roman"/>
          <w:sz w:val="24"/>
          <w:szCs w:val="24"/>
          <w:lang w:eastAsia="cs-CZ"/>
        </w:rPr>
        <w:t xml:space="preserve"> nebo </w:t>
      </w:r>
      <w:r w:rsidR="00FC21B8">
        <w:rPr>
          <w:rFonts w:ascii="Calibri" w:eastAsia="Times New Roman" w:hAnsi="Calibri" w:cs="Times New Roman"/>
          <w:sz w:val="24"/>
          <w:szCs w:val="24"/>
          <w:lang w:eastAsia="cs-CZ"/>
        </w:rPr>
        <w:t xml:space="preserve">s </w:t>
      </w:r>
      <w:r w:rsidR="00254436" w:rsidRPr="00103AC5">
        <w:rPr>
          <w:rFonts w:ascii="Calibri" w:eastAsia="Times New Roman" w:hAnsi="Calibri" w:cs="Times New Roman"/>
          <w:sz w:val="24"/>
          <w:szCs w:val="24"/>
          <w:lang w:eastAsia="cs-CZ"/>
        </w:rPr>
        <w:t>právními předpisy EU</w:t>
      </w:r>
      <w:r w:rsidRPr="00103AC5">
        <w:rPr>
          <w:rFonts w:ascii="Calibri" w:eastAsia="Times New Roman" w:hAnsi="Calibri" w:cs="Times New Roman"/>
          <w:sz w:val="24"/>
          <w:szCs w:val="24"/>
          <w:lang w:eastAsia="cs-CZ"/>
        </w:rPr>
        <w:t>, dále v případě, že údaje, na jejichž základě byla dotace poskytnuta, byly neúplné nebo nepravdivé, ne však později než do</w:t>
      </w:r>
      <w:r w:rsidR="006764CE" w:rsidRPr="00103AC5">
        <w:rPr>
          <w:rFonts w:ascii="Calibri" w:eastAsia="Times New Roman" w:hAnsi="Calibri" w:cs="Times New Roman"/>
          <w:sz w:val="24"/>
          <w:szCs w:val="24"/>
          <w:lang w:eastAsia="cs-CZ"/>
        </w:rPr>
        <w:t xml:space="preserve"> 28.</w:t>
      </w:r>
      <w:r w:rsidR="00956BA5" w:rsidRPr="00103AC5">
        <w:rPr>
          <w:rFonts w:ascii="Calibri" w:eastAsia="Times New Roman" w:hAnsi="Calibri" w:cs="Times New Roman"/>
          <w:sz w:val="24"/>
          <w:szCs w:val="24"/>
          <w:lang w:eastAsia="cs-CZ"/>
        </w:rPr>
        <w:t xml:space="preserve"> </w:t>
      </w:r>
      <w:r w:rsidR="006764CE" w:rsidRPr="00103AC5">
        <w:rPr>
          <w:rFonts w:ascii="Calibri" w:eastAsia="Times New Roman" w:hAnsi="Calibri" w:cs="Times New Roman"/>
          <w:sz w:val="24"/>
          <w:szCs w:val="24"/>
          <w:lang w:eastAsia="cs-CZ"/>
        </w:rPr>
        <w:t>2.</w:t>
      </w:r>
      <w:r w:rsidR="00956BA5" w:rsidRPr="00103AC5">
        <w:rPr>
          <w:rFonts w:ascii="Calibri" w:eastAsia="Times New Roman" w:hAnsi="Calibri" w:cs="Times New Roman"/>
          <w:sz w:val="24"/>
          <w:szCs w:val="24"/>
          <w:lang w:eastAsia="cs-CZ"/>
        </w:rPr>
        <w:t xml:space="preserve"> </w:t>
      </w:r>
      <w:r w:rsidR="006764CE" w:rsidRPr="00103AC5">
        <w:rPr>
          <w:rFonts w:ascii="Calibri" w:eastAsia="Times New Roman" w:hAnsi="Calibri" w:cs="Times New Roman"/>
          <w:sz w:val="24"/>
          <w:szCs w:val="24"/>
          <w:lang w:eastAsia="cs-CZ"/>
        </w:rPr>
        <w:t>20</w:t>
      </w:r>
      <w:r w:rsidR="00082084" w:rsidRPr="00103AC5">
        <w:rPr>
          <w:rFonts w:ascii="Calibri" w:eastAsia="Times New Roman" w:hAnsi="Calibri" w:cs="Times New Roman"/>
          <w:sz w:val="24"/>
          <w:szCs w:val="24"/>
          <w:lang w:eastAsia="cs-CZ"/>
        </w:rPr>
        <w:t>2</w:t>
      </w:r>
      <w:r w:rsidR="00471D00" w:rsidRPr="00103AC5">
        <w:rPr>
          <w:rFonts w:ascii="Calibri" w:eastAsia="Times New Roman" w:hAnsi="Calibri" w:cs="Times New Roman"/>
          <w:sz w:val="24"/>
          <w:szCs w:val="24"/>
          <w:lang w:eastAsia="cs-CZ"/>
        </w:rPr>
        <w:t>2</w:t>
      </w:r>
      <w:r w:rsidRPr="00103AC5">
        <w:rPr>
          <w:rFonts w:ascii="Calibri" w:eastAsia="Times New Roman" w:hAnsi="Calibri" w:cs="Times New Roman"/>
          <w:sz w:val="24"/>
          <w:szCs w:val="24"/>
          <w:lang w:eastAsia="cs-CZ"/>
        </w:rPr>
        <w:t xml:space="preserve"> na účet HMP č. 5157998/6000, variabilní symbol: IČO</w:t>
      </w:r>
      <w:r w:rsidR="00FD66D8" w:rsidRPr="00103AC5">
        <w:rPr>
          <w:rFonts w:ascii="Calibri" w:eastAsia="Times New Roman" w:hAnsi="Calibri" w:cs="Times New Roman"/>
          <w:sz w:val="24"/>
          <w:szCs w:val="24"/>
          <w:lang w:eastAsia="cs-CZ"/>
        </w:rPr>
        <w:t xml:space="preserve"> příjemce dotace</w:t>
      </w:r>
      <w:r w:rsidR="00733CA3" w:rsidRPr="00103AC5">
        <w:rPr>
          <w:rFonts w:ascii="Calibri" w:eastAsia="Times New Roman" w:hAnsi="Calibri" w:cs="Times New Roman"/>
          <w:sz w:val="24"/>
          <w:szCs w:val="24"/>
          <w:lang w:eastAsia="cs-CZ"/>
        </w:rPr>
        <w:t>, specifický symbol: 6085</w:t>
      </w:r>
      <w:r w:rsidR="00FC21B8">
        <w:rPr>
          <w:rFonts w:ascii="Calibri" w:eastAsia="Times New Roman" w:hAnsi="Calibri" w:cs="Times New Roman"/>
          <w:sz w:val="24"/>
          <w:szCs w:val="24"/>
          <w:lang w:eastAsia="cs-CZ"/>
        </w:rPr>
        <w:t>.</w:t>
      </w:r>
    </w:p>
    <w:p w14:paraId="626DE43E" w14:textId="77777777" w:rsidR="0019068D" w:rsidRPr="00103AC5" w:rsidRDefault="0019068D" w:rsidP="00613BEE">
      <w:pPr>
        <w:pStyle w:val="Bezmezer"/>
        <w:ind w:left="397" w:hanging="397"/>
        <w:jc w:val="both"/>
      </w:pPr>
    </w:p>
    <w:p w14:paraId="2CDA16A3" w14:textId="719BE193" w:rsidR="00871F59" w:rsidRPr="00103AC5" w:rsidRDefault="00871F59" w:rsidP="00613BEE">
      <w:pPr>
        <w:pStyle w:val="Odstavecseseznamem"/>
        <w:numPr>
          <w:ilvl w:val="0"/>
          <w:numId w:val="35"/>
        </w:numPr>
        <w:spacing w:after="0" w:line="240" w:lineRule="auto"/>
        <w:ind w:left="397" w:hanging="397"/>
        <w:jc w:val="both"/>
        <w:rPr>
          <w:rFonts w:ascii="Calibri" w:hAnsi="Calibri" w:cs="Calibri"/>
          <w:sz w:val="24"/>
          <w:szCs w:val="24"/>
        </w:rPr>
      </w:pPr>
      <w:r w:rsidRPr="00103AC5">
        <w:rPr>
          <w:rFonts w:ascii="Calibri" w:hAnsi="Calibri" w:cs="Calibri"/>
          <w:sz w:val="24"/>
          <w:szCs w:val="24"/>
        </w:rPr>
        <w:t>Příjemce dotace je povinen přidělenou dotaci (finanční prostředky) za každý kalendářní rok po</w:t>
      </w:r>
      <w:r w:rsidR="00330DB1" w:rsidRPr="00103AC5">
        <w:rPr>
          <w:rFonts w:ascii="Calibri" w:hAnsi="Calibri" w:cs="Calibri"/>
          <w:sz w:val="24"/>
          <w:szCs w:val="24"/>
        </w:rPr>
        <w:t xml:space="preserve"> </w:t>
      </w:r>
      <w:r w:rsidRPr="00103AC5">
        <w:rPr>
          <w:rFonts w:ascii="Calibri" w:hAnsi="Calibri" w:cs="Calibri"/>
          <w:sz w:val="24"/>
          <w:szCs w:val="24"/>
        </w:rPr>
        <w:t xml:space="preserve">dobu trvání </w:t>
      </w:r>
      <w:r w:rsidR="00E07FD2">
        <w:rPr>
          <w:rFonts w:ascii="Calibri" w:hAnsi="Calibri" w:cs="Calibri"/>
          <w:sz w:val="24"/>
          <w:szCs w:val="24"/>
        </w:rPr>
        <w:t>D</w:t>
      </w:r>
      <w:r w:rsidRPr="00103AC5">
        <w:rPr>
          <w:rFonts w:ascii="Calibri" w:hAnsi="Calibri" w:cs="Calibri"/>
          <w:sz w:val="24"/>
          <w:szCs w:val="24"/>
        </w:rPr>
        <w:t>otačního programu projektu řádně vyúčtovat, na závazném formuláři doručit nejpozději do 31. 1. následujícího roku a finální vyúčtování zaslat nejpozději do 31.</w:t>
      </w:r>
      <w:r w:rsidR="00A75C74">
        <w:rPr>
          <w:rFonts w:ascii="Calibri" w:hAnsi="Calibri" w:cs="Calibri"/>
          <w:sz w:val="24"/>
          <w:szCs w:val="24"/>
        </w:rPr>
        <w:t> </w:t>
      </w:r>
      <w:r w:rsidRPr="00103AC5">
        <w:rPr>
          <w:rFonts w:ascii="Calibri" w:hAnsi="Calibri" w:cs="Calibri"/>
          <w:sz w:val="24"/>
          <w:szCs w:val="24"/>
        </w:rPr>
        <w:t xml:space="preserve">1. 2022. </w:t>
      </w:r>
    </w:p>
    <w:p w14:paraId="45A32536" w14:textId="77777777" w:rsidR="00B634CE" w:rsidRPr="00103AC5" w:rsidRDefault="00B634CE" w:rsidP="00613BEE">
      <w:pPr>
        <w:pStyle w:val="Odstavecseseznamem"/>
        <w:spacing w:after="0" w:line="240" w:lineRule="auto"/>
        <w:ind w:left="397" w:hanging="397"/>
        <w:jc w:val="both"/>
        <w:rPr>
          <w:rFonts w:ascii="Calibri" w:hAnsi="Calibri" w:cs="Calibri"/>
          <w:sz w:val="24"/>
          <w:szCs w:val="24"/>
        </w:rPr>
      </w:pPr>
    </w:p>
    <w:p w14:paraId="1ED752B9" w14:textId="5BE16237" w:rsidR="00871F59" w:rsidRDefault="00871F59" w:rsidP="00613BEE">
      <w:pPr>
        <w:pStyle w:val="Odstavecseseznamem"/>
        <w:numPr>
          <w:ilvl w:val="0"/>
          <w:numId w:val="35"/>
        </w:numPr>
        <w:spacing w:after="0" w:line="240" w:lineRule="auto"/>
        <w:ind w:left="397" w:hanging="397"/>
        <w:jc w:val="both"/>
        <w:rPr>
          <w:rFonts w:ascii="Calibri" w:hAnsi="Calibri" w:cs="Calibri"/>
          <w:sz w:val="24"/>
          <w:szCs w:val="24"/>
        </w:rPr>
      </w:pPr>
      <w:r w:rsidRPr="00103AC5">
        <w:rPr>
          <w:rFonts w:ascii="Calibri" w:hAnsi="Calibri" w:cs="Calibri"/>
          <w:sz w:val="24"/>
          <w:szCs w:val="24"/>
        </w:rPr>
        <w:t xml:space="preserve">Na základě vyúčtování přidělené dotace  (finančních prostředků) je možné dotaci v rámci jednotlivých kalendářních roků převádět na další rok na předepsaném formuláři (viz příloha č. </w:t>
      </w:r>
      <w:r w:rsidR="00D97E46">
        <w:rPr>
          <w:rFonts w:ascii="Calibri" w:hAnsi="Calibri" w:cs="Calibri"/>
          <w:sz w:val="24"/>
          <w:szCs w:val="24"/>
        </w:rPr>
        <w:t>5</w:t>
      </w:r>
      <w:r w:rsidR="00F351C3">
        <w:rPr>
          <w:rFonts w:ascii="Calibri" w:hAnsi="Calibri" w:cs="Calibri"/>
          <w:sz w:val="24"/>
          <w:szCs w:val="24"/>
        </w:rPr>
        <w:t xml:space="preserve"> Dotačního programu projektu</w:t>
      </w:r>
      <w:r w:rsidRPr="00103AC5">
        <w:rPr>
          <w:rFonts w:ascii="Calibri" w:hAnsi="Calibri" w:cs="Calibri"/>
          <w:sz w:val="24"/>
          <w:szCs w:val="24"/>
        </w:rPr>
        <w:t xml:space="preserve">). </w:t>
      </w:r>
      <w:r w:rsidRPr="007F452A">
        <w:rPr>
          <w:rFonts w:ascii="Calibri" w:hAnsi="Calibri" w:cs="Calibri"/>
          <w:sz w:val="24"/>
          <w:szCs w:val="24"/>
        </w:rPr>
        <w:t>Změnu rozpočtu a změnu v čerpání na jednotlivých položkách rozpočtu může žadatel realizovat pouze na základě písemného souhlasu odboru  ZSP.</w:t>
      </w:r>
      <w:r w:rsidRPr="00103AC5">
        <w:rPr>
          <w:rFonts w:ascii="Calibri" w:hAnsi="Calibri" w:cs="Calibri"/>
          <w:sz w:val="24"/>
          <w:szCs w:val="24"/>
        </w:rPr>
        <w:t xml:space="preserve"> Převod prostředků však nesmí přesahovat maximální výpočet cenové hladiny na jeden rok.</w:t>
      </w:r>
    </w:p>
    <w:p w14:paraId="1D4BBEFA" w14:textId="77777777" w:rsidR="00EF60F3" w:rsidRPr="00103AC5" w:rsidRDefault="00EF60F3" w:rsidP="00613BEE">
      <w:pPr>
        <w:pStyle w:val="Odstavecseseznamem"/>
        <w:spacing w:after="0" w:line="240" w:lineRule="auto"/>
        <w:ind w:left="397" w:hanging="397"/>
        <w:jc w:val="both"/>
        <w:rPr>
          <w:rFonts w:ascii="Calibri" w:hAnsi="Calibri" w:cs="Calibri"/>
          <w:sz w:val="24"/>
          <w:szCs w:val="24"/>
        </w:rPr>
      </w:pPr>
    </w:p>
    <w:p w14:paraId="4460BB35" w14:textId="0429AC55" w:rsidR="00600F79" w:rsidRPr="00613BEE" w:rsidRDefault="00871F59" w:rsidP="00613BEE">
      <w:pPr>
        <w:pStyle w:val="Bezmezer"/>
        <w:numPr>
          <w:ilvl w:val="0"/>
          <w:numId w:val="35"/>
        </w:numPr>
        <w:ind w:left="397" w:hanging="397"/>
        <w:jc w:val="both"/>
        <w:rPr>
          <w:rFonts w:ascii="Calibri" w:eastAsia="Times New Roman" w:hAnsi="Calibri" w:cs="Calibri"/>
          <w:sz w:val="24"/>
          <w:szCs w:val="24"/>
          <w:lang w:eastAsia="cs-CZ"/>
        </w:rPr>
      </w:pPr>
      <w:r w:rsidRPr="00103AC5">
        <w:rPr>
          <w:rFonts w:ascii="Calibri" w:eastAsia="Times New Roman" w:hAnsi="Calibri" w:cs="Calibri"/>
          <w:bCs/>
          <w:sz w:val="24"/>
          <w:szCs w:val="24"/>
          <w:lang w:eastAsia="cs-CZ"/>
        </w:rPr>
        <w:t xml:space="preserve">Nevyčerpané a nepřevedené finanční prostředky udělené na jednotlivé kalendářní roky je příjemce dotace povinen vrátit na účet HMP č. 5157998/6000, variabilní symbol: IČO příjemce dotace, specifický symbol: 6085 do 28. 2. </w:t>
      </w:r>
      <w:r w:rsidRPr="00D530FF">
        <w:rPr>
          <w:rFonts w:ascii="Calibri" w:eastAsia="Times New Roman" w:hAnsi="Calibri" w:cs="Calibri"/>
          <w:bCs/>
          <w:sz w:val="24"/>
          <w:szCs w:val="24"/>
          <w:lang w:eastAsia="cs-CZ"/>
        </w:rPr>
        <w:t>následujícího roku.</w:t>
      </w:r>
      <w:r w:rsidRPr="00103AC5">
        <w:rPr>
          <w:rFonts w:ascii="Calibri" w:eastAsia="Times New Roman" w:hAnsi="Calibri" w:cs="Calibri"/>
          <w:bCs/>
          <w:sz w:val="24"/>
          <w:szCs w:val="24"/>
          <w:lang w:eastAsia="cs-CZ"/>
        </w:rPr>
        <w:t xml:space="preserve"> </w:t>
      </w:r>
    </w:p>
    <w:p w14:paraId="458D4F56" w14:textId="165034DF" w:rsidR="00440E3F" w:rsidRPr="00103AC5" w:rsidRDefault="00871F59" w:rsidP="00613BEE">
      <w:pPr>
        <w:pStyle w:val="Bezmezer"/>
        <w:ind w:left="397"/>
        <w:jc w:val="both"/>
        <w:rPr>
          <w:rFonts w:ascii="Calibri" w:eastAsia="Times New Roman" w:hAnsi="Calibri" w:cs="Calibri"/>
          <w:sz w:val="24"/>
          <w:szCs w:val="24"/>
          <w:lang w:eastAsia="cs-CZ"/>
        </w:rPr>
      </w:pPr>
      <w:r w:rsidRPr="00103AC5">
        <w:rPr>
          <w:rFonts w:ascii="Calibri" w:eastAsia="Times New Roman" w:hAnsi="Calibri" w:cs="Calibri"/>
          <w:bCs/>
          <w:sz w:val="24"/>
          <w:szCs w:val="24"/>
          <w:lang w:eastAsia="cs-CZ"/>
        </w:rPr>
        <w:t xml:space="preserve">Finální nevyčerpané finanční prostředky je příjemce dotace povinen vrátit na účet HMP č. </w:t>
      </w:r>
      <w:r w:rsidR="00600F79">
        <w:rPr>
          <w:rFonts w:ascii="Calibri" w:eastAsia="Times New Roman" w:hAnsi="Calibri" w:cs="Calibri"/>
          <w:bCs/>
          <w:sz w:val="24"/>
          <w:szCs w:val="24"/>
          <w:lang w:eastAsia="cs-CZ"/>
        </w:rPr>
        <w:t> </w:t>
      </w:r>
      <w:r w:rsidRPr="00103AC5">
        <w:rPr>
          <w:rFonts w:ascii="Calibri" w:eastAsia="Times New Roman" w:hAnsi="Calibri" w:cs="Calibri"/>
          <w:bCs/>
          <w:sz w:val="24"/>
          <w:szCs w:val="24"/>
          <w:lang w:eastAsia="cs-CZ"/>
        </w:rPr>
        <w:t>5157998/6000, variabilní symbol: IČO příjemce dotace, specifický symbol: 6085 do 28.</w:t>
      </w:r>
      <w:r w:rsidR="00600F79">
        <w:rPr>
          <w:rFonts w:ascii="Calibri" w:eastAsia="Times New Roman" w:hAnsi="Calibri" w:cs="Calibri"/>
          <w:bCs/>
          <w:sz w:val="24"/>
          <w:szCs w:val="24"/>
          <w:lang w:eastAsia="cs-CZ"/>
        </w:rPr>
        <w:t> </w:t>
      </w:r>
      <w:r w:rsidRPr="00103AC5">
        <w:rPr>
          <w:rFonts w:ascii="Calibri" w:eastAsia="Times New Roman" w:hAnsi="Calibri" w:cs="Calibri"/>
          <w:bCs/>
          <w:sz w:val="24"/>
          <w:szCs w:val="24"/>
          <w:lang w:eastAsia="cs-CZ"/>
        </w:rPr>
        <w:t>2. 2022.</w:t>
      </w:r>
      <w:r w:rsidR="00A80B70" w:rsidRPr="00103AC5">
        <w:rPr>
          <w:rFonts w:ascii="Calibri" w:eastAsia="Times New Roman" w:hAnsi="Calibri" w:cs="Calibri"/>
          <w:bCs/>
          <w:sz w:val="24"/>
          <w:szCs w:val="24"/>
          <w:lang w:eastAsia="cs-CZ"/>
        </w:rPr>
        <w:t xml:space="preserve"> </w:t>
      </w:r>
    </w:p>
    <w:p w14:paraId="59295EB2" w14:textId="77777777" w:rsidR="00871F59" w:rsidRPr="00103AC5" w:rsidRDefault="00871F59" w:rsidP="00613BEE">
      <w:pPr>
        <w:pStyle w:val="Bezmezer"/>
        <w:ind w:left="397" w:hanging="397"/>
        <w:jc w:val="both"/>
        <w:rPr>
          <w:rFonts w:asciiTheme="minorHAnsi" w:hAnsiTheme="minorHAnsi" w:cstheme="minorHAnsi"/>
          <w:sz w:val="24"/>
          <w:szCs w:val="24"/>
        </w:rPr>
      </w:pPr>
    </w:p>
    <w:p w14:paraId="2322C54E" w14:textId="77777777" w:rsidR="00440E3F" w:rsidRPr="00103AC5" w:rsidRDefault="00440E3F" w:rsidP="00613BEE">
      <w:pPr>
        <w:pStyle w:val="Bezmezer"/>
        <w:numPr>
          <w:ilvl w:val="0"/>
          <w:numId w:val="35"/>
        </w:numPr>
        <w:ind w:left="397" w:hanging="397"/>
        <w:jc w:val="both"/>
        <w:rPr>
          <w:rFonts w:ascii="Calibri" w:eastAsia="Times New Roman" w:hAnsi="Calibri" w:cs="Times New Roman"/>
          <w:sz w:val="24"/>
          <w:szCs w:val="24"/>
          <w:lang w:eastAsia="cs-CZ"/>
        </w:rPr>
      </w:pPr>
      <w:r w:rsidRPr="00103AC5">
        <w:rPr>
          <w:rFonts w:ascii="Calibri" w:eastAsia="Times New Roman" w:hAnsi="Calibri" w:cs="Times New Roman"/>
          <w:sz w:val="24"/>
          <w:szCs w:val="24"/>
          <w:lang w:eastAsia="cs-CZ"/>
        </w:rPr>
        <w:t>V případě prodlení s odvodem je příjemce dotace povinen uhradit poskytovateli dotace penále dle § 22 zákona o rozpočtových pravidlech územních rozpočtů, ve znění pozdějších předpisů, a to na účet HMP č. 5157998/6000, variabilní symbol: IČO</w:t>
      </w:r>
      <w:r w:rsidR="0064690F" w:rsidRPr="00103AC5">
        <w:rPr>
          <w:rFonts w:ascii="Calibri" w:eastAsia="Times New Roman" w:hAnsi="Calibri" w:cs="Times New Roman"/>
          <w:sz w:val="24"/>
          <w:szCs w:val="24"/>
          <w:lang w:eastAsia="cs-CZ"/>
        </w:rPr>
        <w:t xml:space="preserve"> </w:t>
      </w:r>
      <w:r w:rsidRPr="00103AC5">
        <w:rPr>
          <w:rFonts w:ascii="Calibri" w:eastAsia="Times New Roman" w:hAnsi="Calibri" w:cs="Times New Roman"/>
          <w:sz w:val="24"/>
          <w:szCs w:val="24"/>
          <w:lang w:eastAsia="cs-CZ"/>
        </w:rPr>
        <w:t xml:space="preserve">příjemce dotace, specifický symbol: </w:t>
      </w:r>
      <w:r w:rsidR="00733CA3" w:rsidRPr="00103AC5">
        <w:rPr>
          <w:rFonts w:ascii="Calibri" w:eastAsia="Times New Roman" w:hAnsi="Calibri" w:cs="Times New Roman"/>
          <w:sz w:val="24"/>
          <w:szCs w:val="24"/>
          <w:lang w:eastAsia="cs-CZ"/>
        </w:rPr>
        <w:t>6085</w:t>
      </w:r>
      <w:r w:rsidR="0019068D" w:rsidRPr="00103AC5">
        <w:rPr>
          <w:rFonts w:ascii="Calibri" w:eastAsia="Times New Roman" w:hAnsi="Calibri" w:cs="Times New Roman"/>
          <w:sz w:val="24"/>
          <w:szCs w:val="24"/>
          <w:lang w:eastAsia="cs-CZ"/>
        </w:rPr>
        <w:t>.</w:t>
      </w:r>
    </w:p>
    <w:p w14:paraId="07F817BB" w14:textId="77777777" w:rsidR="00871F59" w:rsidRPr="00103AC5" w:rsidRDefault="00871F59" w:rsidP="00613BEE">
      <w:pPr>
        <w:pStyle w:val="Bezmezer"/>
        <w:ind w:left="397" w:hanging="397"/>
        <w:jc w:val="both"/>
        <w:rPr>
          <w:rFonts w:ascii="Calibri" w:eastAsia="Times New Roman" w:hAnsi="Calibri" w:cs="Times New Roman"/>
          <w:sz w:val="24"/>
          <w:szCs w:val="24"/>
          <w:lang w:eastAsia="cs-CZ"/>
        </w:rPr>
      </w:pPr>
    </w:p>
    <w:p w14:paraId="53B324F8" w14:textId="77777777" w:rsidR="00AA18C9" w:rsidRPr="00103AC5" w:rsidRDefault="00AA18C9" w:rsidP="00613BEE">
      <w:pPr>
        <w:pStyle w:val="Bezmezer"/>
        <w:numPr>
          <w:ilvl w:val="0"/>
          <w:numId w:val="35"/>
        </w:numPr>
        <w:ind w:left="397" w:hanging="397"/>
        <w:jc w:val="both"/>
        <w:rPr>
          <w:rFonts w:ascii="Calibri" w:eastAsia="Times New Roman" w:hAnsi="Calibri" w:cs="Times New Roman"/>
          <w:sz w:val="24"/>
          <w:szCs w:val="24"/>
          <w:lang w:eastAsia="cs-CZ"/>
        </w:rPr>
      </w:pPr>
      <w:r w:rsidRPr="00103AC5">
        <w:rPr>
          <w:rFonts w:ascii="Calibri" w:eastAsia="Times New Roman" w:hAnsi="Calibri" w:cs="Times New Roman"/>
          <w:sz w:val="24"/>
          <w:szCs w:val="24"/>
          <w:lang w:eastAsia="cs-CZ"/>
        </w:rPr>
        <w:t>Příjemce se dále zavazuje uhradit poskytovateli veškeré sankce uložené mu ze strany státních orgánů v důsledku porušení povinností poskytovatele jako příjemce dotace, pokud byly způsobeny porušením povinností příjemce.</w:t>
      </w:r>
    </w:p>
    <w:p w14:paraId="1A9E153D" w14:textId="77777777" w:rsidR="0019068D" w:rsidRPr="00103AC5" w:rsidRDefault="0019068D" w:rsidP="00613BEE">
      <w:pPr>
        <w:pStyle w:val="Bezmezer"/>
        <w:ind w:left="397" w:hanging="397"/>
      </w:pPr>
    </w:p>
    <w:p w14:paraId="3DA18227" w14:textId="7F0D883B" w:rsidR="00440E3F" w:rsidRPr="00103AC5" w:rsidRDefault="00440E3F" w:rsidP="00613BEE">
      <w:pPr>
        <w:pStyle w:val="Bezmezer"/>
        <w:numPr>
          <w:ilvl w:val="0"/>
          <w:numId w:val="35"/>
        </w:numPr>
        <w:ind w:left="397" w:hanging="397"/>
        <w:jc w:val="both"/>
        <w:rPr>
          <w:rFonts w:ascii="Calibri" w:eastAsia="Times New Roman" w:hAnsi="Calibri" w:cs="Times New Roman"/>
          <w:sz w:val="24"/>
          <w:szCs w:val="24"/>
          <w:lang w:eastAsia="cs-CZ"/>
        </w:rPr>
      </w:pPr>
      <w:r w:rsidRPr="00103AC5">
        <w:rPr>
          <w:rFonts w:ascii="Calibri" w:eastAsia="Times New Roman" w:hAnsi="Calibri" w:cs="Times New Roman"/>
          <w:sz w:val="24"/>
          <w:szCs w:val="24"/>
          <w:lang w:eastAsia="cs-CZ"/>
        </w:rPr>
        <w:t xml:space="preserve">Závazný formulář vyúčtování bude k dispozici na internetových stránkách HMP nejpozději </w:t>
      </w:r>
      <w:r w:rsidR="00733CA3" w:rsidRPr="00103AC5">
        <w:rPr>
          <w:rFonts w:ascii="Calibri" w:eastAsia="Times New Roman" w:hAnsi="Calibri" w:cs="Times New Roman"/>
          <w:sz w:val="24"/>
          <w:szCs w:val="24"/>
          <w:lang w:eastAsia="cs-CZ"/>
        </w:rPr>
        <w:t>do 30. 11. 201</w:t>
      </w:r>
      <w:r w:rsidR="007A4774" w:rsidRPr="00103AC5">
        <w:rPr>
          <w:rFonts w:ascii="Calibri" w:eastAsia="Times New Roman" w:hAnsi="Calibri" w:cs="Times New Roman"/>
          <w:sz w:val="24"/>
          <w:szCs w:val="24"/>
          <w:lang w:eastAsia="cs-CZ"/>
        </w:rPr>
        <w:t>9</w:t>
      </w:r>
      <w:r w:rsidR="0019068D" w:rsidRPr="00103AC5">
        <w:rPr>
          <w:rFonts w:ascii="Calibri" w:eastAsia="Times New Roman" w:hAnsi="Calibri" w:cs="Times New Roman"/>
          <w:sz w:val="24"/>
          <w:szCs w:val="24"/>
          <w:lang w:eastAsia="cs-CZ"/>
        </w:rPr>
        <w:t>.</w:t>
      </w:r>
    </w:p>
    <w:p w14:paraId="1A99D64F" w14:textId="77777777" w:rsidR="0019068D" w:rsidRDefault="0019068D" w:rsidP="000F0C05">
      <w:pPr>
        <w:spacing w:before="120" w:after="0" w:line="240" w:lineRule="auto"/>
        <w:ind w:left="714"/>
        <w:jc w:val="both"/>
        <w:rPr>
          <w:rFonts w:ascii="Calibri" w:eastAsia="Times New Roman" w:hAnsi="Calibri" w:cs="Times New Roman"/>
          <w:sz w:val="24"/>
          <w:szCs w:val="24"/>
          <w:lang w:eastAsia="cs-CZ"/>
        </w:rPr>
      </w:pPr>
      <w:bookmarkStart w:id="0" w:name="_GoBack"/>
      <w:bookmarkEnd w:id="0"/>
    </w:p>
    <w:sectPr w:rsidR="0019068D" w:rsidSect="00B64C21">
      <w:headerReference w:type="first" r:id="rId13"/>
      <w:pgSz w:w="11906" w:h="16838" w:code="9"/>
      <w:pgMar w:top="1247" w:right="1418" w:bottom="1077" w:left="1418" w:header="426"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4A1BC" w14:textId="77777777" w:rsidR="00A0644F" w:rsidRDefault="00A0644F" w:rsidP="00D06F39">
      <w:pPr>
        <w:spacing w:after="0" w:line="240" w:lineRule="auto"/>
      </w:pPr>
      <w:r>
        <w:separator/>
      </w:r>
    </w:p>
  </w:endnote>
  <w:endnote w:type="continuationSeparator" w:id="0">
    <w:p w14:paraId="07A8FA46" w14:textId="77777777" w:rsidR="00A0644F" w:rsidRDefault="00A0644F" w:rsidP="00D06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01AE1" w14:textId="77777777" w:rsidR="00A0644F" w:rsidRDefault="00A0644F" w:rsidP="00D06F39">
      <w:pPr>
        <w:spacing w:after="0" w:line="240" w:lineRule="auto"/>
      </w:pPr>
      <w:r>
        <w:separator/>
      </w:r>
    </w:p>
  </w:footnote>
  <w:footnote w:type="continuationSeparator" w:id="0">
    <w:p w14:paraId="425917AE" w14:textId="77777777" w:rsidR="00A0644F" w:rsidRDefault="00A0644F" w:rsidP="00D06F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12D12" w14:textId="77777777" w:rsidR="003823BC" w:rsidRDefault="003823BC" w:rsidP="002E4E2C">
    <w:pPr>
      <w:pStyle w:val="Zhlav"/>
      <w:tabs>
        <w:tab w:val="left" w:pos="3969"/>
      </w:tabs>
    </w:pPr>
    <w:r w:rsidRPr="00DB23BF">
      <w:rPr>
        <w:noProof/>
        <w:lang w:eastAsia="cs-CZ"/>
      </w:rPr>
      <w:drawing>
        <wp:inline distT="0" distB="0" distL="0" distR="0" wp14:anchorId="64577CEF" wp14:editId="0B60BD43">
          <wp:extent cx="2632075" cy="540385"/>
          <wp:effectExtent l="0" t="0" r="0" b="0"/>
          <wp:docPr id="1" name="Obrázek 1" descr="W:\PUBLICITA\VIZUÁLNÍ_IDENTITA\na web\OPZ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W:\PUBLICITA\VIZUÁLNÍ_IDENTITA\na web\OPZ_C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2075" cy="540385"/>
                  </a:xfrm>
                  <a:prstGeom prst="rect">
                    <a:avLst/>
                  </a:prstGeom>
                  <a:noFill/>
                  <a:ln>
                    <a:noFill/>
                  </a:ln>
                </pic:spPr>
              </pic:pic>
            </a:graphicData>
          </a:graphic>
        </wp:inline>
      </w:drawing>
    </w:r>
  </w:p>
  <w:p w14:paraId="4EEACB01" w14:textId="77777777" w:rsidR="003823BC" w:rsidRPr="00224B1B" w:rsidRDefault="003823BC">
    <w:pPr>
      <w:pStyle w:val="Zhlav"/>
      <w:rPr>
        <w:rFonts w:ascii="Times New Roman" w:hAnsi="Times New Roman" w:cs="Times New Roman"/>
        <w:i/>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3564"/>
    <w:multiLevelType w:val="hybridMultilevel"/>
    <w:tmpl w:val="3E1E7F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8745BC"/>
    <w:multiLevelType w:val="hybridMultilevel"/>
    <w:tmpl w:val="1A963A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B7512F"/>
    <w:multiLevelType w:val="hybridMultilevel"/>
    <w:tmpl w:val="5BDA1A9E"/>
    <w:lvl w:ilvl="0" w:tplc="0405000F">
      <w:start w:val="1"/>
      <w:numFmt w:val="decimal"/>
      <w:lvlText w:val="%1."/>
      <w:lvlJc w:val="left"/>
      <w:pPr>
        <w:ind w:left="928"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F81BB0"/>
    <w:multiLevelType w:val="hybridMultilevel"/>
    <w:tmpl w:val="B2FAD0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CA0531"/>
    <w:multiLevelType w:val="hybridMultilevel"/>
    <w:tmpl w:val="D58E5EB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DE5199"/>
    <w:multiLevelType w:val="hybridMultilevel"/>
    <w:tmpl w:val="1F882054"/>
    <w:lvl w:ilvl="0" w:tplc="458A4282">
      <w:start w:val="4"/>
      <w:numFmt w:val="bullet"/>
      <w:lvlText w:val="-"/>
      <w:lvlJc w:val="left"/>
      <w:pPr>
        <w:tabs>
          <w:tab w:val="num" w:pos="454"/>
        </w:tabs>
        <w:ind w:left="454" w:hanging="454"/>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ED17C9"/>
    <w:multiLevelType w:val="hybridMultilevel"/>
    <w:tmpl w:val="81A64BA8"/>
    <w:lvl w:ilvl="0" w:tplc="04050001">
      <w:start w:val="1"/>
      <w:numFmt w:val="bullet"/>
      <w:lvlText w:val=""/>
      <w:lvlJc w:val="left"/>
      <w:pPr>
        <w:tabs>
          <w:tab w:val="num" w:pos="454"/>
        </w:tabs>
        <w:ind w:left="454" w:hanging="454"/>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65F64DD"/>
    <w:multiLevelType w:val="hybridMultilevel"/>
    <w:tmpl w:val="02C6AD26"/>
    <w:lvl w:ilvl="0" w:tplc="0405000F">
      <w:start w:val="1"/>
      <w:numFmt w:val="decimal"/>
      <w:lvlText w:val="%1."/>
      <w:lvlJc w:val="left"/>
      <w:pPr>
        <w:ind w:left="928"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9F5071"/>
    <w:multiLevelType w:val="hybridMultilevel"/>
    <w:tmpl w:val="A0F20B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0338D3"/>
    <w:multiLevelType w:val="hybridMultilevel"/>
    <w:tmpl w:val="491641C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FF648E"/>
    <w:multiLevelType w:val="hybridMultilevel"/>
    <w:tmpl w:val="EE3E5F12"/>
    <w:lvl w:ilvl="0" w:tplc="9484F17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70517D"/>
    <w:multiLevelType w:val="multilevel"/>
    <w:tmpl w:val="F78A31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06D3253"/>
    <w:multiLevelType w:val="hybridMultilevel"/>
    <w:tmpl w:val="4B021A74"/>
    <w:lvl w:ilvl="0" w:tplc="7F3CB6BE">
      <w:start w:val="1"/>
      <w:numFmt w:val="decimal"/>
      <w:lvlText w:val="%1."/>
      <w:lvlJc w:val="left"/>
      <w:pPr>
        <w:tabs>
          <w:tab w:val="num" w:pos="786"/>
        </w:tabs>
        <w:ind w:left="786" w:hanging="360"/>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1671A41"/>
    <w:multiLevelType w:val="hybridMultilevel"/>
    <w:tmpl w:val="CA0A7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9D3B0F"/>
    <w:multiLevelType w:val="hybridMultilevel"/>
    <w:tmpl w:val="84FC32CA"/>
    <w:lvl w:ilvl="0" w:tplc="9FDEA138">
      <w:start w:val="1"/>
      <w:numFmt w:val="decimal"/>
      <w:lvlText w:val="%1."/>
      <w:lvlJc w:val="left"/>
      <w:pPr>
        <w:ind w:left="720" w:hanging="360"/>
      </w:pPr>
      <w:rPr>
        <w:rFonts w:eastAsia="Tahom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3BC294C"/>
    <w:multiLevelType w:val="hybridMultilevel"/>
    <w:tmpl w:val="D6DAE90A"/>
    <w:lvl w:ilvl="0" w:tplc="FAC87EE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984C3A"/>
    <w:multiLevelType w:val="hybridMultilevel"/>
    <w:tmpl w:val="62249C8C"/>
    <w:lvl w:ilvl="0" w:tplc="0405000F">
      <w:start w:val="1"/>
      <w:numFmt w:val="decimal"/>
      <w:lvlText w:val="%1."/>
      <w:lvlJc w:val="left"/>
      <w:pPr>
        <w:ind w:left="928"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FEB1110"/>
    <w:multiLevelType w:val="hybridMultilevel"/>
    <w:tmpl w:val="C89EEF7C"/>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1E0BF4"/>
    <w:multiLevelType w:val="hybridMultilevel"/>
    <w:tmpl w:val="22C69212"/>
    <w:lvl w:ilvl="0" w:tplc="E12E65A0">
      <w:start w:val="1"/>
      <w:numFmt w:val="decimal"/>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0" w15:restartNumberingAfterBreak="0">
    <w:nsid w:val="390943B2"/>
    <w:multiLevelType w:val="hybridMultilevel"/>
    <w:tmpl w:val="675A6A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046E19"/>
    <w:multiLevelType w:val="hybridMultilevel"/>
    <w:tmpl w:val="CC428714"/>
    <w:lvl w:ilvl="0" w:tplc="7B167E88">
      <w:start w:val="1"/>
      <w:numFmt w:val="decimal"/>
      <w:lvlText w:val="%1."/>
      <w:lvlJc w:val="left"/>
      <w:pPr>
        <w:ind w:left="928" w:hanging="360"/>
      </w:pPr>
      <w:rPr>
        <w:rFonts w:cs="TimesNewRoman"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2" w15:restartNumberingAfterBreak="0">
    <w:nsid w:val="3D5A68A1"/>
    <w:multiLevelType w:val="hybridMultilevel"/>
    <w:tmpl w:val="C2024E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3D448B"/>
    <w:multiLevelType w:val="hybridMultilevel"/>
    <w:tmpl w:val="994ED1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0912D22"/>
    <w:multiLevelType w:val="hybridMultilevel"/>
    <w:tmpl w:val="4C8059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1A21EC1"/>
    <w:multiLevelType w:val="hybridMultilevel"/>
    <w:tmpl w:val="01EC3A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20A4098"/>
    <w:multiLevelType w:val="hybridMultilevel"/>
    <w:tmpl w:val="163C7428"/>
    <w:lvl w:ilvl="0" w:tplc="8E249086">
      <w:start w:val="1"/>
      <w:numFmt w:val="decimal"/>
      <w:lvlText w:val="%1."/>
      <w:lvlJc w:val="left"/>
      <w:pPr>
        <w:tabs>
          <w:tab w:val="num" w:pos="643"/>
        </w:tabs>
        <w:ind w:left="643" w:hanging="360"/>
      </w:pPr>
      <w:rPr>
        <w:b w:val="0"/>
        <w:i w:val="0"/>
        <w:sz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43137D9C"/>
    <w:multiLevelType w:val="hybridMultilevel"/>
    <w:tmpl w:val="2444A0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4E26669"/>
    <w:multiLevelType w:val="hybridMultilevel"/>
    <w:tmpl w:val="2162ED8E"/>
    <w:lvl w:ilvl="0" w:tplc="0A1C3138">
      <w:start w:val="1"/>
      <w:numFmt w:val="decimal"/>
      <w:lvlText w:val="%1."/>
      <w:lvlJc w:val="left"/>
      <w:pPr>
        <w:ind w:left="720" w:hanging="360"/>
      </w:pPr>
      <w:rPr>
        <w:b w:val="0"/>
        <w:i w:val="0"/>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C8D719C"/>
    <w:multiLevelType w:val="hybridMultilevel"/>
    <w:tmpl w:val="76DAF1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FB63546"/>
    <w:multiLevelType w:val="hybridMultilevel"/>
    <w:tmpl w:val="559E109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ED3DF1"/>
    <w:multiLevelType w:val="hybridMultilevel"/>
    <w:tmpl w:val="D2189B5E"/>
    <w:lvl w:ilvl="0" w:tplc="C17EADC2">
      <w:start w:val="1"/>
      <w:numFmt w:val="decimal"/>
      <w:lvlText w:val="%1."/>
      <w:lvlJc w:val="left"/>
      <w:pPr>
        <w:tabs>
          <w:tab w:val="num" w:pos="357"/>
        </w:tabs>
        <w:ind w:left="357" w:hanging="357"/>
      </w:pPr>
      <w:rPr>
        <w:rFonts w:ascii="Times New Roman" w:hAnsi="Times New Roman" w:cs="Times New Roman" w:hint="default"/>
        <w:b w:val="0"/>
        <w:i w:val="0"/>
        <w:sz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15:restartNumberingAfterBreak="0">
    <w:nsid w:val="54994C1C"/>
    <w:multiLevelType w:val="hybridMultilevel"/>
    <w:tmpl w:val="2EF038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B0A5059"/>
    <w:multiLevelType w:val="hybridMultilevel"/>
    <w:tmpl w:val="D5F46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D5C4AF1"/>
    <w:multiLevelType w:val="hybridMultilevel"/>
    <w:tmpl w:val="E21045BC"/>
    <w:lvl w:ilvl="0" w:tplc="0405000F">
      <w:start w:val="1"/>
      <w:numFmt w:val="decimal"/>
      <w:lvlText w:val="%1."/>
      <w:lvlJc w:val="left"/>
      <w:pPr>
        <w:ind w:left="928"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EA6530F"/>
    <w:multiLevelType w:val="hybridMultilevel"/>
    <w:tmpl w:val="CB02B2DA"/>
    <w:lvl w:ilvl="0" w:tplc="CB8C644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F3F2E92"/>
    <w:multiLevelType w:val="hybridMultilevel"/>
    <w:tmpl w:val="B6E853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1635214"/>
    <w:multiLevelType w:val="hybridMultilevel"/>
    <w:tmpl w:val="8D36BEF4"/>
    <w:lvl w:ilvl="0" w:tplc="4B7660C2">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17503CB"/>
    <w:multiLevelType w:val="hybridMultilevel"/>
    <w:tmpl w:val="8AC053AE"/>
    <w:lvl w:ilvl="0" w:tplc="CEE6DA22">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39817ED"/>
    <w:multiLevelType w:val="hybridMultilevel"/>
    <w:tmpl w:val="239C8DB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0" w15:restartNumberingAfterBreak="0">
    <w:nsid w:val="64BF3391"/>
    <w:multiLevelType w:val="hybridMultilevel"/>
    <w:tmpl w:val="F4F63914"/>
    <w:lvl w:ilvl="0" w:tplc="6CAA3F90">
      <w:start w:val="1"/>
      <w:numFmt w:val="bullet"/>
      <w:lvlText w:val="-"/>
      <w:lvlJc w:val="left"/>
      <w:pPr>
        <w:ind w:left="1080" w:hanging="360"/>
      </w:pPr>
      <w:rPr>
        <w:rFonts w:ascii="Calibri" w:eastAsia="Times New Roman"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1" w15:restartNumberingAfterBreak="0">
    <w:nsid w:val="657220AC"/>
    <w:multiLevelType w:val="hybridMultilevel"/>
    <w:tmpl w:val="9BEE81F4"/>
    <w:lvl w:ilvl="0" w:tplc="2B56E12E">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579319C"/>
    <w:multiLevelType w:val="hybridMultilevel"/>
    <w:tmpl w:val="62249C8C"/>
    <w:lvl w:ilvl="0" w:tplc="0405000F">
      <w:start w:val="1"/>
      <w:numFmt w:val="decimal"/>
      <w:lvlText w:val="%1."/>
      <w:lvlJc w:val="left"/>
      <w:pPr>
        <w:ind w:left="928"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A69055C"/>
    <w:multiLevelType w:val="multilevel"/>
    <w:tmpl w:val="82127824"/>
    <w:lvl w:ilvl="0">
      <w:start w:val="1"/>
      <w:numFmt w:val="decimal"/>
      <w:lvlText w:val="%1."/>
      <w:lvlJc w:val="left"/>
      <w:pPr>
        <w:ind w:left="360" w:hanging="360"/>
      </w:pPr>
      <w:rPr>
        <w:rFonts w:hint="default"/>
      </w:rPr>
    </w:lvl>
    <w:lvl w:ilvl="1">
      <w:start w:val="1"/>
      <w:numFmt w:val="decimal"/>
      <w:lvlText w:val="%1.%2."/>
      <w:lvlJc w:val="left"/>
      <w:pPr>
        <w:ind w:left="1160" w:hanging="36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120" w:hanging="72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080" w:hanging="1080"/>
      </w:pPr>
      <w:rPr>
        <w:rFonts w:hint="default"/>
      </w:rPr>
    </w:lvl>
    <w:lvl w:ilvl="6">
      <w:start w:val="1"/>
      <w:numFmt w:val="decimal"/>
      <w:lvlText w:val="%1.%2.%3.%4.%5.%6.%7."/>
      <w:lvlJc w:val="left"/>
      <w:pPr>
        <w:ind w:left="5880" w:hanging="1080"/>
      </w:pPr>
      <w:rPr>
        <w:rFonts w:hint="default"/>
      </w:rPr>
    </w:lvl>
    <w:lvl w:ilvl="7">
      <w:start w:val="1"/>
      <w:numFmt w:val="decimal"/>
      <w:lvlText w:val="%1.%2.%3.%4.%5.%6.%7.%8."/>
      <w:lvlJc w:val="left"/>
      <w:pPr>
        <w:ind w:left="7040" w:hanging="1440"/>
      </w:pPr>
      <w:rPr>
        <w:rFonts w:hint="default"/>
      </w:rPr>
    </w:lvl>
    <w:lvl w:ilvl="8">
      <w:start w:val="1"/>
      <w:numFmt w:val="decimal"/>
      <w:lvlText w:val="%1.%2.%3.%4.%5.%6.%7.%8.%9."/>
      <w:lvlJc w:val="left"/>
      <w:pPr>
        <w:ind w:left="7840" w:hanging="1440"/>
      </w:pPr>
      <w:rPr>
        <w:rFonts w:hint="default"/>
      </w:rPr>
    </w:lvl>
  </w:abstractNum>
  <w:abstractNum w:abstractNumId="44" w15:restartNumberingAfterBreak="0">
    <w:nsid w:val="6B7E1938"/>
    <w:multiLevelType w:val="hybridMultilevel"/>
    <w:tmpl w:val="539CF20C"/>
    <w:lvl w:ilvl="0" w:tplc="04050019">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5" w15:restartNumberingAfterBreak="0">
    <w:nsid w:val="6C8738DA"/>
    <w:multiLevelType w:val="hybridMultilevel"/>
    <w:tmpl w:val="A5F29E0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EAF79EA"/>
    <w:multiLevelType w:val="hybridMultilevel"/>
    <w:tmpl w:val="B36016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02D4BEA"/>
    <w:multiLevelType w:val="hybridMultilevel"/>
    <w:tmpl w:val="FAF64BDC"/>
    <w:lvl w:ilvl="0" w:tplc="4AF2B15C">
      <w:start w:val="1"/>
      <w:numFmt w:val="decimal"/>
      <w:lvlText w:val="%1."/>
      <w:lvlJc w:val="left"/>
      <w:pPr>
        <w:tabs>
          <w:tab w:val="num" w:pos="6173"/>
        </w:tabs>
        <w:ind w:left="6170" w:hanging="357"/>
      </w:pPr>
      <w:rPr>
        <w:rFonts w:ascii="Times New Roman" w:hAnsi="Times New Roman" w:cs="Times New Roman" w:hint="default"/>
        <w:b w:val="0"/>
        <w:bCs w:val="0"/>
        <w:i w:val="0"/>
        <w:iCs w:val="0"/>
        <w:strike w:val="0"/>
        <w:color w:val="auto"/>
        <w:sz w:val="24"/>
        <w:szCs w:val="24"/>
      </w:rPr>
    </w:lvl>
    <w:lvl w:ilvl="1" w:tplc="79644C22">
      <w:start w:val="1"/>
      <w:numFmt w:val="lowerLetter"/>
      <w:lvlText w:val="%2."/>
      <w:lvlJc w:val="left"/>
      <w:pPr>
        <w:tabs>
          <w:tab w:val="num" w:pos="142"/>
        </w:tabs>
        <w:ind w:left="142" w:firstLine="0"/>
      </w:pPr>
      <w:rPr>
        <w:rFonts w:hint="default"/>
        <w:b w:val="0"/>
        <w:bCs w:val="0"/>
        <w:i w:val="0"/>
        <w:iCs w:val="0"/>
        <w:strike w:val="0"/>
        <w:color w:val="auto"/>
        <w:sz w:val="24"/>
        <w:szCs w:val="24"/>
      </w:rPr>
    </w:lvl>
    <w:lvl w:ilvl="2" w:tplc="0405001B">
      <w:start w:val="1"/>
      <w:numFmt w:val="lowerRoman"/>
      <w:lvlText w:val="%3."/>
      <w:lvlJc w:val="right"/>
      <w:pPr>
        <w:tabs>
          <w:tab w:val="num" w:pos="2302"/>
        </w:tabs>
        <w:ind w:left="2302" w:hanging="180"/>
      </w:pPr>
    </w:lvl>
    <w:lvl w:ilvl="3" w:tplc="B288907E">
      <w:start w:val="1"/>
      <w:numFmt w:val="lowerLetter"/>
      <w:lvlText w:val="%4)"/>
      <w:lvlJc w:val="left"/>
      <w:pPr>
        <w:ind w:left="3022" w:hanging="360"/>
      </w:pPr>
      <w:rPr>
        <w:rFonts w:hint="default"/>
      </w:rPr>
    </w:lvl>
    <w:lvl w:ilvl="4" w:tplc="04050019" w:tentative="1">
      <w:start w:val="1"/>
      <w:numFmt w:val="lowerLetter"/>
      <w:lvlText w:val="%5."/>
      <w:lvlJc w:val="left"/>
      <w:pPr>
        <w:tabs>
          <w:tab w:val="num" w:pos="3742"/>
        </w:tabs>
        <w:ind w:left="3742" w:hanging="360"/>
      </w:pPr>
    </w:lvl>
    <w:lvl w:ilvl="5" w:tplc="0405001B" w:tentative="1">
      <w:start w:val="1"/>
      <w:numFmt w:val="lowerRoman"/>
      <w:lvlText w:val="%6."/>
      <w:lvlJc w:val="right"/>
      <w:pPr>
        <w:tabs>
          <w:tab w:val="num" w:pos="4462"/>
        </w:tabs>
        <w:ind w:left="4462" w:hanging="180"/>
      </w:pPr>
    </w:lvl>
    <w:lvl w:ilvl="6" w:tplc="0405000F" w:tentative="1">
      <w:start w:val="1"/>
      <w:numFmt w:val="decimal"/>
      <w:lvlText w:val="%7."/>
      <w:lvlJc w:val="left"/>
      <w:pPr>
        <w:tabs>
          <w:tab w:val="num" w:pos="5182"/>
        </w:tabs>
        <w:ind w:left="5182" w:hanging="360"/>
      </w:pPr>
    </w:lvl>
    <w:lvl w:ilvl="7" w:tplc="04050019" w:tentative="1">
      <w:start w:val="1"/>
      <w:numFmt w:val="lowerLetter"/>
      <w:lvlText w:val="%8."/>
      <w:lvlJc w:val="left"/>
      <w:pPr>
        <w:tabs>
          <w:tab w:val="num" w:pos="5902"/>
        </w:tabs>
        <w:ind w:left="5902" w:hanging="360"/>
      </w:pPr>
    </w:lvl>
    <w:lvl w:ilvl="8" w:tplc="0405001B" w:tentative="1">
      <w:start w:val="1"/>
      <w:numFmt w:val="lowerRoman"/>
      <w:lvlText w:val="%9."/>
      <w:lvlJc w:val="right"/>
      <w:pPr>
        <w:tabs>
          <w:tab w:val="num" w:pos="6622"/>
        </w:tabs>
        <w:ind w:left="6622" w:hanging="180"/>
      </w:pPr>
    </w:lvl>
  </w:abstractNum>
  <w:abstractNum w:abstractNumId="48" w15:restartNumberingAfterBreak="0">
    <w:nsid w:val="705F3093"/>
    <w:multiLevelType w:val="hybridMultilevel"/>
    <w:tmpl w:val="9B6AC9E0"/>
    <w:lvl w:ilvl="0" w:tplc="0A1C3138">
      <w:start w:val="1"/>
      <w:numFmt w:val="decimal"/>
      <w:lvlText w:val="%1."/>
      <w:lvlJc w:val="left"/>
      <w:pPr>
        <w:tabs>
          <w:tab w:val="num" w:pos="357"/>
        </w:tabs>
        <w:ind w:left="357" w:hanging="357"/>
      </w:pPr>
      <w:rPr>
        <w:b w:val="0"/>
        <w:i w:val="0"/>
        <w:sz w:val="24"/>
        <w:szCs w:val="24"/>
      </w:rPr>
    </w:lvl>
    <w:lvl w:ilvl="1" w:tplc="04050019">
      <w:start w:val="1"/>
      <w:numFmt w:val="lowerLetter"/>
      <w:lvlText w:val="%2."/>
      <w:lvlJc w:val="left"/>
      <w:pPr>
        <w:tabs>
          <w:tab w:val="num" w:pos="1211"/>
        </w:tabs>
        <w:ind w:left="1211"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9" w15:restartNumberingAfterBreak="0">
    <w:nsid w:val="732C37D2"/>
    <w:multiLevelType w:val="hybridMultilevel"/>
    <w:tmpl w:val="85604A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3CD4A5E"/>
    <w:multiLevelType w:val="hybridMultilevel"/>
    <w:tmpl w:val="81CE3A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6060363"/>
    <w:multiLevelType w:val="hybridMultilevel"/>
    <w:tmpl w:val="C2024E92"/>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2" w15:restartNumberingAfterBreak="0">
    <w:nsid w:val="77FA07E7"/>
    <w:multiLevelType w:val="hybridMultilevel"/>
    <w:tmpl w:val="2BD4A7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92D10A9"/>
    <w:multiLevelType w:val="hybridMultilevel"/>
    <w:tmpl w:val="3D0A32C2"/>
    <w:lvl w:ilvl="0" w:tplc="B79C6F82">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C494C91"/>
    <w:multiLevelType w:val="hybridMultilevel"/>
    <w:tmpl w:val="3AF434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D573EA9"/>
    <w:multiLevelType w:val="hybridMultilevel"/>
    <w:tmpl w:val="23CCCA80"/>
    <w:lvl w:ilvl="0" w:tplc="26FCF9B8">
      <w:start w:val="1"/>
      <w:numFmt w:val="decimal"/>
      <w:lvlText w:val="%1."/>
      <w:lvlJc w:val="left"/>
      <w:pPr>
        <w:ind w:left="928"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7E27014E"/>
    <w:multiLevelType w:val="hybridMultilevel"/>
    <w:tmpl w:val="795EA63C"/>
    <w:lvl w:ilvl="0" w:tplc="032AA752">
      <w:start w:val="1"/>
      <w:numFmt w:val="decimal"/>
      <w:lvlText w:val="%1."/>
      <w:lvlJc w:val="left"/>
      <w:pPr>
        <w:ind w:left="107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7" w15:restartNumberingAfterBreak="0">
    <w:nsid w:val="7E932DEF"/>
    <w:multiLevelType w:val="multilevel"/>
    <w:tmpl w:val="F0F0B4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0"/>
  </w:num>
  <w:num w:numId="2">
    <w:abstractNumId w:val="47"/>
  </w:num>
  <w:num w:numId="3">
    <w:abstractNumId w:val="5"/>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8"/>
  </w:num>
  <w:num w:numId="9">
    <w:abstractNumId w:val="1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6"/>
  </w:num>
  <w:num w:numId="12">
    <w:abstractNumId w:val="38"/>
  </w:num>
  <w:num w:numId="13">
    <w:abstractNumId w:val="11"/>
  </w:num>
  <w:num w:numId="14">
    <w:abstractNumId w:val="10"/>
  </w:num>
  <w:num w:numId="15">
    <w:abstractNumId w:val="13"/>
  </w:num>
  <w:num w:numId="16">
    <w:abstractNumId w:val="40"/>
  </w:num>
  <w:num w:numId="17">
    <w:abstractNumId w:val="57"/>
  </w:num>
  <w:num w:numId="18">
    <w:abstractNumId w:val="46"/>
  </w:num>
  <w:num w:numId="19">
    <w:abstractNumId w:val="8"/>
  </w:num>
  <w:num w:numId="20">
    <w:abstractNumId w:val="1"/>
  </w:num>
  <w:num w:numId="21">
    <w:abstractNumId w:val="54"/>
  </w:num>
  <w:num w:numId="22">
    <w:abstractNumId w:val="6"/>
  </w:num>
  <w:num w:numId="23">
    <w:abstractNumId w:val="9"/>
  </w:num>
  <w:num w:numId="24">
    <w:abstractNumId w:val="24"/>
  </w:num>
  <w:num w:numId="25">
    <w:abstractNumId w:val="7"/>
  </w:num>
  <w:num w:numId="26">
    <w:abstractNumId w:val="44"/>
  </w:num>
  <w:num w:numId="27">
    <w:abstractNumId w:val="25"/>
  </w:num>
  <w:num w:numId="28">
    <w:abstractNumId w:val="3"/>
  </w:num>
  <w:num w:numId="29">
    <w:abstractNumId w:val="45"/>
  </w:num>
  <w:num w:numId="30">
    <w:abstractNumId w:val="29"/>
  </w:num>
  <w:num w:numId="31">
    <w:abstractNumId w:val="51"/>
  </w:num>
  <w:num w:numId="32">
    <w:abstractNumId w:val="4"/>
  </w:num>
  <w:num w:numId="33">
    <w:abstractNumId w:val="20"/>
  </w:num>
  <w:num w:numId="34">
    <w:abstractNumId w:val="50"/>
  </w:num>
  <w:num w:numId="35">
    <w:abstractNumId w:val="23"/>
  </w:num>
  <w:num w:numId="36">
    <w:abstractNumId w:val="49"/>
  </w:num>
  <w:num w:numId="37">
    <w:abstractNumId w:val="27"/>
  </w:num>
  <w:num w:numId="38">
    <w:abstractNumId w:val="36"/>
  </w:num>
  <w:num w:numId="39">
    <w:abstractNumId w:val="43"/>
  </w:num>
  <w:num w:numId="40">
    <w:abstractNumId w:val="35"/>
  </w:num>
  <w:num w:numId="41">
    <w:abstractNumId w:val="39"/>
  </w:num>
  <w:num w:numId="42">
    <w:abstractNumId w:val="32"/>
  </w:num>
  <w:num w:numId="43">
    <w:abstractNumId w:val="0"/>
  </w:num>
  <w:num w:numId="44">
    <w:abstractNumId w:val="14"/>
  </w:num>
  <w:num w:numId="45">
    <w:abstractNumId w:val="21"/>
  </w:num>
  <w:num w:numId="46">
    <w:abstractNumId w:val="15"/>
  </w:num>
  <w:num w:numId="47">
    <w:abstractNumId w:val="16"/>
  </w:num>
  <w:num w:numId="48">
    <w:abstractNumId w:val="34"/>
  </w:num>
  <w:num w:numId="49">
    <w:abstractNumId w:val="53"/>
  </w:num>
  <w:num w:numId="50">
    <w:abstractNumId w:val="2"/>
  </w:num>
  <w:num w:numId="51">
    <w:abstractNumId w:val="42"/>
  </w:num>
  <w:num w:numId="52">
    <w:abstractNumId w:val="55"/>
  </w:num>
  <w:num w:numId="53">
    <w:abstractNumId w:val="18"/>
  </w:num>
  <w:num w:numId="54">
    <w:abstractNumId w:val="41"/>
  </w:num>
  <w:num w:numId="55">
    <w:abstractNumId w:val="52"/>
  </w:num>
  <w:num w:numId="56">
    <w:abstractNumId w:val="33"/>
  </w:num>
  <w:num w:numId="57">
    <w:abstractNumId w:val="37"/>
  </w:num>
  <w:num w:numId="58">
    <w:abstractNumId w:val="22"/>
  </w:num>
  <w:num w:numId="59">
    <w:abstractNumId w:val="1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E3F"/>
    <w:rsid w:val="00002C07"/>
    <w:rsid w:val="00003700"/>
    <w:rsid w:val="000149CA"/>
    <w:rsid w:val="00017134"/>
    <w:rsid w:val="00017737"/>
    <w:rsid w:val="0002612A"/>
    <w:rsid w:val="000269F3"/>
    <w:rsid w:val="00031070"/>
    <w:rsid w:val="00034AB5"/>
    <w:rsid w:val="00034C7C"/>
    <w:rsid w:val="00036927"/>
    <w:rsid w:val="000404E3"/>
    <w:rsid w:val="0004263E"/>
    <w:rsid w:val="0004469D"/>
    <w:rsid w:val="00046867"/>
    <w:rsid w:val="000501E1"/>
    <w:rsid w:val="00055321"/>
    <w:rsid w:val="000615BF"/>
    <w:rsid w:val="00062995"/>
    <w:rsid w:val="00067E4D"/>
    <w:rsid w:val="00070614"/>
    <w:rsid w:val="00076349"/>
    <w:rsid w:val="00082084"/>
    <w:rsid w:val="000850EB"/>
    <w:rsid w:val="00087E9A"/>
    <w:rsid w:val="0009200F"/>
    <w:rsid w:val="00094F3A"/>
    <w:rsid w:val="000A04BE"/>
    <w:rsid w:val="000A3719"/>
    <w:rsid w:val="000A409A"/>
    <w:rsid w:val="000B7A78"/>
    <w:rsid w:val="000B7CA4"/>
    <w:rsid w:val="000C3021"/>
    <w:rsid w:val="000C3AAA"/>
    <w:rsid w:val="000C3B80"/>
    <w:rsid w:val="000C4C1E"/>
    <w:rsid w:val="000D1795"/>
    <w:rsid w:val="000D4F14"/>
    <w:rsid w:val="000E0DC7"/>
    <w:rsid w:val="000E14FE"/>
    <w:rsid w:val="000E23D4"/>
    <w:rsid w:val="000E30B0"/>
    <w:rsid w:val="000E327D"/>
    <w:rsid w:val="000E4B01"/>
    <w:rsid w:val="000E6969"/>
    <w:rsid w:val="000F0C05"/>
    <w:rsid w:val="000F0F78"/>
    <w:rsid w:val="000F471E"/>
    <w:rsid w:val="000F549D"/>
    <w:rsid w:val="0010034D"/>
    <w:rsid w:val="001012EB"/>
    <w:rsid w:val="001014C1"/>
    <w:rsid w:val="00103AC5"/>
    <w:rsid w:val="001043C1"/>
    <w:rsid w:val="001045A7"/>
    <w:rsid w:val="00105A7D"/>
    <w:rsid w:val="001114F2"/>
    <w:rsid w:val="00112E12"/>
    <w:rsid w:val="00112EAE"/>
    <w:rsid w:val="00113479"/>
    <w:rsid w:val="00115D6D"/>
    <w:rsid w:val="00120134"/>
    <w:rsid w:val="00120CBF"/>
    <w:rsid w:val="00121B43"/>
    <w:rsid w:val="0012790C"/>
    <w:rsid w:val="00130922"/>
    <w:rsid w:val="00130D1B"/>
    <w:rsid w:val="00132152"/>
    <w:rsid w:val="00133EBC"/>
    <w:rsid w:val="00134BF4"/>
    <w:rsid w:val="00136610"/>
    <w:rsid w:val="0014448E"/>
    <w:rsid w:val="001457A3"/>
    <w:rsid w:val="00145E22"/>
    <w:rsid w:val="00146704"/>
    <w:rsid w:val="00147E1D"/>
    <w:rsid w:val="001506A4"/>
    <w:rsid w:val="00151DEC"/>
    <w:rsid w:val="00160A8A"/>
    <w:rsid w:val="00160DAB"/>
    <w:rsid w:val="001611D5"/>
    <w:rsid w:val="00162D26"/>
    <w:rsid w:val="0016373C"/>
    <w:rsid w:val="001665E0"/>
    <w:rsid w:val="00166FCC"/>
    <w:rsid w:val="00167235"/>
    <w:rsid w:val="001673F2"/>
    <w:rsid w:val="00171BA3"/>
    <w:rsid w:val="00171C00"/>
    <w:rsid w:val="00172F29"/>
    <w:rsid w:val="001736D2"/>
    <w:rsid w:val="00175264"/>
    <w:rsid w:val="001760CE"/>
    <w:rsid w:val="0018176A"/>
    <w:rsid w:val="00184CD5"/>
    <w:rsid w:val="001858E8"/>
    <w:rsid w:val="00186EC7"/>
    <w:rsid w:val="00187CCF"/>
    <w:rsid w:val="0019022B"/>
    <w:rsid w:val="0019068D"/>
    <w:rsid w:val="001911E9"/>
    <w:rsid w:val="0019672E"/>
    <w:rsid w:val="001A35BE"/>
    <w:rsid w:val="001A3613"/>
    <w:rsid w:val="001A5B50"/>
    <w:rsid w:val="001A6E54"/>
    <w:rsid w:val="001B031A"/>
    <w:rsid w:val="001B15F6"/>
    <w:rsid w:val="001B4689"/>
    <w:rsid w:val="001B59D1"/>
    <w:rsid w:val="001B6196"/>
    <w:rsid w:val="001C1A8F"/>
    <w:rsid w:val="001C7DBB"/>
    <w:rsid w:val="001D127E"/>
    <w:rsid w:val="001D2A27"/>
    <w:rsid w:val="001E13C6"/>
    <w:rsid w:val="001E2080"/>
    <w:rsid w:val="001E3951"/>
    <w:rsid w:val="001E56DD"/>
    <w:rsid w:val="001E6ADF"/>
    <w:rsid w:val="001F00B1"/>
    <w:rsid w:val="001F22BE"/>
    <w:rsid w:val="001F663E"/>
    <w:rsid w:val="001F66C7"/>
    <w:rsid w:val="00202F5B"/>
    <w:rsid w:val="0020370A"/>
    <w:rsid w:val="00206B9B"/>
    <w:rsid w:val="00207438"/>
    <w:rsid w:val="002076BC"/>
    <w:rsid w:val="002138CF"/>
    <w:rsid w:val="00214099"/>
    <w:rsid w:val="00220746"/>
    <w:rsid w:val="00224B1B"/>
    <w:rsid w:val="0022524A"/>
    <w:rsid w:val="00227E3C"/>
    <w:rsid w:val="00237849"/>
    <w:rsid w:val="002409C2"/>
    <w:rsid w:val="002415FC"/>
    <w:rsid w:val="002427CE"/>
    <w:rsid w:val="00246778"/>
    <w:rsid w:val="002527AE"/>
    <w:rsid w:val="00254436"/>
    <w:rsid w:val="00254FAD"/>
    <w:rsid w:val="002633E5"/>
    <w:rsid w:val="0026370F"/>
    <w:rsid w:val="00266AA0"/>
    <w:rsid w:val="00272E20"/>
    <w:rsid w:val="00273317"/>
    <w:rsid w:val="002737CF"/>
    <w:rsid w:val="00275031"/>
    <w:rsid w:val="002756E7"/>
    <w:rsid w:val="00277A74"/>
    <w:rsid w:val="00281447"/>
    <w:rsid w:val="00284212"/>
    <w:rsid w:val="0028490F"/>
    <w:rsid w:val="00287180"/>
    <w:rsid w:val="00290115"/>
    <w:rsid w:val="00292076"/>
    <w:rsid w:val="00295D7A"/>
    <w:rsid w:val="00297FA3"/>
    <w:rsid w:val="002A06F1"/>
    <w:rsid w:val="002A41DD"/>
    <w:rsid w:val="002A6A0E"/>
    <w:rsid w:val="002B12CF"/>
    <w:rsid w:val="002C0494"/>
    <w:rsid w:val="002C09A5"/>
    <w:rsid w:val="002C0C1A"/>
    <w:rsid w:val="002C4031"/>
    <w:rsid w:val="002C5791"/>
    <w:rsid w:val="002C6170"/>
    <w:rsid w:val="002C6ADC"/>
    <w:rsid w:val="002D3E70"/>
    <w:rsid w:val="002D6C23"/>
    <w:rsid w:val="002E23BD"/>
    <w:rsid w:val="002E4E2C"/>
    <w:rsid w:val="002E677C"/>
    <w:rsid w:val="002E71B4"/>
    <w:rsid w:val="002E7986"/>
    <w:rsid w:val="003016C9"/>
    <w:rsid w:val="00303CF8"/>
    <w:rsid w:val="00304AD2"/>
    <w:rsid w:val="00307F81"/>
    <w:rsid w:val="0031324D"/>
    <w:rsid w:val="0031487D"/>
    <w:rsid w:val="00316CA8"/>
    <w:rsid w:val="00317FDB"/>
    <w:rsid w:val="003228A8"/>
    <w:rsid w:val="00323621"/>
    <w:rsid w:val="00324402"/>
    <w:rsid w:val="00324E68"/>
    <w:rsid w:val="00327837"/>
    <w:rsid w:val="00330DB1"/>
    <w:rsid w:val="00332C79"/>
    <w:rsid w:val="003334DC"/>
    <w:rsid w:val="00334B15"/>
    <w:rsid w:val="003370E2"/>
    <w:rsid w:val="003403F8"/>
    <w:rsid w:val="003420EB"/>
    <w:rsid w:val="003424C2"/>
    <w:rsid w:val="00344EB4"/>
    <w:rsid w:val="00345202"/>
    <w:rsid w:val="00345C5E"/>
    <w:rsid w:val="00361302"/>
    <w:rsid w:val="003626A7"/>
    <w:rsid w:val="003632DF"/>
    <w:rsid w:val="00363590"/>
    <w:rsid w:val="00365803"/>
    <w:rsid w:val="00380DAA"/>
    <w:rsid w:val="003813EF"/>
    <w:rsid w:val="003823BC"/>
    <w:rsid w:val="003830CC"/>
    <w:rsid w:val="00384C43"/>
    <w:rsid w:val="00390170"/>
    <w:rsid w:val="00392E91"/>
    <w:rsid w:val="00393B2C"/>
    <w:rsid w:val="003A44D3"/>
    <w:rsid w:val="003A7FE8"/>
    <w:rsid w:val="003B1193"/>
    <w:rsid w:val="003B1A0D"/>
    <w:rsid w:val="003B1C32"/>
    <w:rsid w:val="003B2720"/>
    <w:rsid w:val="003B5769"/>
    <w:rsid w:val="003B584D"/>
    <w:rsid w:val="003B67CA"/>
    <w:rsid w:val="003C21EA"/>
    <w:rsid w:val="003C4005"/>
    <w:rsid w:val="003C6960"/>
    <w:rsid w:val="003D1002"/>
    <w:rsid w:val="003D1A87"/>
    <w:rsid w:val="003D1E41"/>
    <w:rsid w:val="003D5156"/>
    <w:rsid w:val="003D5F60"/>
    <w:rsid w:val="003E3C9B"/>
    <w:rsid w:val="003E4018"/>
    <w:rsid w:val="003F3906"/>
    <w:rsid w:val="003F714A"/>
    <w:rsid w:val="00403F68"/>
    <w:rsid w:val="00404623"/>
    <w:rsid w:val="0040723B"/>
    <w:rsid w:val="00410D70"/>
    <w:rsid w:val="00415A1D"/>
    <w:rsid w:val="00420BCB"/>
    <w:rsid w:val="004277B0"/>
    <w:rsid w:val="00430878"/>
    <w:rsid w:val="004311E9"/>
    <w:rsid w:val="0043231E"/>
    <w:rsid w:val="00433CFA"/>
    <w:rsid w:val="00440E3F"/>
    <w:rsid w:val="004426C8"/>
    <w:rsid w:val="00443C17"/>
    <w:rsid w:val="0044532A"/>
    <w:rsid w:val="0044640E"/>
    <w:rsid w:val="00452F02"/>
    <w:rsid w:val="004560FB"/>
    <w:rsid w:val="00457E26"/>
    <w:rsid w:val="00460D95"/>
    <w:rsid w:val="00464764"/>
    <w:rsid w:val="00464F80"/>
    <w:rsid w:val="0046614E"/>
    <w:rsid w:val="00467E5A"/>
    <w:rsid w:val="00471D00"/>
    <w:rsid w:val="004771CD"/>
    <w:rsid w:val="004771EC"/>
    <w:rsid w:val="00480FA4"/>
    <w:rsid w:val="00481EA7"/>
    <w:rsid w:val="004944FA"/>
    <w:rsid w:val="004945BE"/>
    <w:rsid w:val="00497AD3"/>
    <w:rsid w:val="004A43CD"/>
    <w:rsid w:val="004B07B7"/>
    <w:rsid w:val="004B2A42"/>
    <w:rsid w:val="004B4A72"/>
    <w:rsid w:val="004B63D2"/>
    <w:rsid w:val="004B63D9"/>
    <w:rsid w:val="004C3F3F"/>
    <w:rsid w:val="004C527A"/>
    <w:rsid w:val="004C5441"/>
    <w:rsid w:val="004D2CD2"/>
    <w:rsid w:val="004D6094"/>
    <w:rsid w:val="004E44DE"/>
    <w:rsid w:val="004E4EF8"/>
    <w:rsid w:val="004E7F6E"/>
    <w:rsid w:val="004F02FC"/>
    <w:rsid w:val="004F0956"/>
    <w:rsid w:val="004F5AAB"/>
    <w:rsid w:val="004F686A"/>
    <w:rsid w:val="004F7A62"/>
    <w:rsid w:val="00506F97"/>
    <w:rsid w:val="005179D2"/>
    <w:rsid w:val="00517BFC"/>
    <w:rsid w:val="00521337"/>
    <w:rsid w:val="0052655B"/>
    <w:rsid w:val="0053065D"/>
    <w:rsid w:val="0053615E"/>
    <w:rsid w:val="00541A0B"/>
    <w:rsid w:val="00541F41"/>
    <w:rsid w:val="005440D2"/>
    <w:rsid w:val="00544BED"/>
    <w:rsid w:val="00545EE3"/>
    <w:rsid w:val="00547C50"/>
    <w:rsid w:val="005538CF"/>
    <w:rsid w:val="00553C49"/>
    <w:rsid w:val="00557B82"/>
    <w:rsid w:val="005643C0"/>
    <w:rsid w:val="00566637"/>
    <w:rsid w:val="0057018A"/>
    <w:rsid w:val="00571E2A"/>
    <w:rsid w:val="005722B5"/>
    <w:rsid w:val="005729BB"/>
    <w:rsid w:val="00573337"/>
    <w:rsid w:val="005751CC"/>
    <w:rsid w:val="00580302"/>
    <w:rsid w:val="00580548"/>
    <w:rsid w:val="00581259"/>
    <w:rsid w:val="00581354"/>
    <w:rsid w:val="00581920"/>
    <w:rsid w:val="00582467"/>
    <w:rsid w:val="00582FB5"/>
    <w:rsid w:val="00585414"/>
    <w:rsid w:val="005871ED"/>
    <w:rsid w:val="0059288C"/>
    <w:rsid w:val="005A0F4A"/>
    <w:rsid w:val="005A1415"/>
    <w:rsid w:val="005A171B"/>
    <w:rsid w:val="005A1726"/>
    <w:rsid w:val="005A1856"/>
    <w:rsid w:val="005A20E4"/>
    <w:rsid w:val="005A231B"/>
    <w:rsid w:val="005A4290"/>
    <w:rsid w:val="005A514B"/>
    <w:rsid w:val="005A541A"/>
    <w:rsid w:val="005A66E8"/>
    <w:rsid w:val="005A69A2"/>
    <w:rsid w:val="005A6F08"/>
    <w:rsid w:val="005A7392"/>
    <w:rsid w:val="005A760D"/>
    <w:rsid w:val="005B0772"/>
    <w:rsid w:val="005B1DC8"/>
    <w:rsid w:val="005B2560"/>
    <w:rsid w:val="005B3716"/>
    <w:rsid w:val="005B4142"/>
    <w:rsid w:val="005B6470"/>
    <w:rsid w:val="005C0ABB"/>
    <w:rsid w:val="005C3853"/>
    <w:rsid w:val="005C724C"/>
    <w:rsid w:val="005D08F5"/>
    <w:rsid w:val="005D219F"/>
    <w:rsid w:val="005D2CFC"/>
    <w:rsid w:val="005D45A0"/>
    <w:rsid w:val="005E3BCE"/>
    <w:rsid w:val="005E3C47"/>
    <w:rsid w:val="005E6CC4"/>
    <w:rsid w:val="005F0EE7"/>
    <w:rsid w:val="005F4158"/>
    <w:rsid w:val="005F4242"/>
    <w:rsid w:val="005F5AB6"/>
    <w:rsid w:val="005F7092"/>
    <w:rsid w:val="00600F79"/>
    <w:rsid w:val="00602832"/>
    <w:rsid w:val="006039AE"/>
    <w:rsid w:val="00607728"/>
    <w:rsid w:val="00610DA4"/>
    <w:rsid w:val="006118DC"/>
    <w:rsid w:val="00611C29"/>
    <w:rsid w:val="00613BEE"/>
    <w:rsid w:val="00614172"/>
    <w:rsid w:val="006174DC"/>
    <w:rsid w:val="00617AC2"/>
    <w:rsid w:val="0062094D"/>
    <w:rsid w:val="00623AC3"/>
    <w:rsid w:val="00626222"/>
    <w:rsid w:val="0063010A"/>
    <w:rsid w:val="006318A7"/>
    <w:rsid w:val="00642091"/>
    <w:rsid w:val="0064690F"/>
    <w:rsid w:val="006527FF"/>
    <w:rsid w:val="00662547"/>
    <w:rsid w:val="006645C4"/>
    <w:rsid w:val="006659A4"/>
    <w:rsid w:val="00671351"/>
    <w:rsid w:val="006725EC"/>
    <w:rsid w:val="00673574"/>
    <w:rsid w:val="006764CE"/>
    <w:rsid w:val="006800E0"/>
    <w:rsid w:val="0068395C"/>
    <w:rsid w:val="00684EF6"/>
    <w:rsid w:val="0069007F"/>
    <w:rsid w:val="006918BA"/>
    <w:rsid w:val="006940B0"/>
    <w:rsid w:val="006976B9"/>
    <w:rsid w:val="006A0BCC"/>
    <w:rsid w:val="006A530A"/>
    <w:rsid w:val="006B0E6F"/>
    <w:rsid w:val="006B4DA7"/>
    <w:rsid w:val="006C2DDE"/>
    <w:rsid w:val="006C3DCC"/>
    <w:rsid w:val="006C3E6F"/>
    <w:rsid w:val="006C4C55"/>
    <w:rsid w:val="006C648F"/>
    <w:rsid w:val="006C6B1C"/>
    <w:rsid w:val="006C6CCB"/>
    <w:rsid w:val="006D53BC"/>
    <w:rsid w:val="006D58AD"/>
    <w:rsid w:val="006E1C2F"/>
    <w:rsid w:val="006E7384"/>
    <w:rsid w:val="006E77A1"/>
    <w:rsid w:val="006F02CF"/>
    <w:rsid w:val="006F04FA"/>
    <w:rsid w:val="006F0AC9"/>
    <w:rsid w:val="006F2318"/>
    <w:rsid w:val="006F30EF"/>
    <w:rsid w:val="006F3FC5"/>
    <w:rsid w:val="006F443B"/>
    <w:rsid w:val="006F7505"/>
    <w:rsid w:val="0070033B"/>
    <w:rsid w:val="00701966"/>
    <w:rsid w:val="0070504D"/>
    <w:rsid w:val="007068D1"/>
    <w:rsid w:val="00710686"/>
    <w:rsid w:val="00713F75"/>
    <w:rsid w:val="00714D1D"/>
    <w:rsid w:val="007157BE"/>
    <w:rsid w:val="00717E0D"/>
    <w:rsid w:val="007222A1"/>
    <w:rsid w:val="007225AD"/>
    <w:rsid w:val="00725664"/>
    <w:rsid w:val="00725ADB"/>
    <w:rsid w:val="00730FAF"/>
    <w:rsid w:val="0073180A"/>
    <w:rsid w:val="0073342C"/>
    <w:rsid w:val="00733CA3"/>
    <w:rsid w:val="00734D0F"/>
    <w:rsid w:val="007427D6"/>
    <w:rsid w:val="00742EE9"/>
    <w:rsid w:val="0075016B"/>
    <w:rsid w:val="00750EFA"/>
    <w:rsid w:val="00750FF6"/>
    <w:rsid w:val="007535FA"/>
    <w:rsid w:val="00753B23"/>
    <w:rsid w:val="00754C5B"/>
    <w:rsid w:val="00756224"/>
    <w:rsid w:val="00756D7A"/>
    <w:rsid w:val="0076454A"/>
    <w:rsid w:val="007649D6"/>
    <w:rsid w:val="0077036D"/>
    <w:rsid w:val="007728D9"/>
    <w:rsid w:val="007773A7"/>
    <w:rsid w:val="00783ED5"/>
    <w:rsid w:val="00785F29"/>
    <w:rsid w:val="00787B55"/>
    <w:rsid w:val="00790459"/>
    <w:rsid w:val="00791AC7"/>
    <w:rsid w:val="00792A54"/>
    <w:rsid w:val="00793057"/>
    <w:rsid w:val="007930F4"/>
    <w:rsid w:val="00796A81"/>
    <w:rsid w:val="007A0CD4"/>
    <w:rsid w:val="007A2CDD"/>
    <w:rsid w:val="007A2F8B"/>
    <w:rsid w:val="007A4774"/>
    <w:rsid w:val="007A724C"/>
    <w:rsid w:val="007A7C80"/>
    <w:rsid w:val="007B2407"/>
    <w:rsid w:val="007B571D"/>
    <w:rsid w:val="007C0E1E"/>
    <w:rsid w:val="007C11DA"/>
    <w:rsid w:val="007C34BD"/>
    <w:rsid w:val="007C4924"/>
    <w:rsid w:val="007C52FB"/>
    <w:rsid w:val="007C69EB"/>
    <w:rsid w:val="007D099F"/>
    <w:rsid w:val="007D1A47"/>
    <w:rsid w:val="007D2E46"/>
    <w:rsid w:val="007D7C92"/>
    <w:rsid w:val="007E25EC"/>
    <w:rsid w:val="007E3569"/>
    <w:rsid w:val="007E4DD4"/>
    <w:rsid w:val="007E6C18"/>
    <w:rsid w:val="007F301E"/>
    <w:rsid w:val="007F452A"/>
    <w:rsid w:val="007F648C"/>
    <w:rsid w:val="007F685D"/>
    <w:rsid w:val="00802A92"/>
    <w:rsid w:val="0080362E"/>
    <w:rsid w:val="00813C79"/>
    <w:rsid w:val="00813D4F"/>
    <w:rsid w:val="0081418F"/>
    <w:rsid w:val="00815E8A"/>
    <w:rsid w:val="008169AB"/>
    <w:rsid w:val="00817E44"/>
    <w:rsid w:val="0082109E"/>
    <w:rsid w:val="00821D36"/>
    <w:rsid w:val="00825F13"/>
    <w:rsid w:val="00827979"/>
    <w:rsid w:val="00830811"/>
    <w:rsid w:val="00830FCE"/>
    <w:rsid w:val="00832773"/>
    <w:rsid w:val="0083495F"/>
    <w:rsid w:val="008363B2"/>
    <w:rsid w:val="00836D33"/>
    <w:rsid w:val="0083724B"/>
    <w:rsid w:val="0084508A"/>
    <w:rsid w:val="00845DD6"/>
    <w:rsid w:val="00847E5B"/>
    <w:rsid w:val="00851778"/>
    <w:rsid w:val="008539A8"/>
    <w:rsid w:val="00854D2E"/>
    <w:rsid w:val="00855D2A"/>
    <w:rsid w:val="0085661D"/>
    <w:rsid w:val="0086319C"/>
    <w:rsid w:val="00863E4F"/>
    <w:rsid w:val="008674B0"/>
    <w:rsid w:val="00871F59"/>
    <w:rsid w:val="00874269"/>
    <w:rsid w:val="00877095"/>
    <w:rsid w:val="00882C34"/>
    <w:rsid w:val="008876DE"/>
    <w:rsid w:val="00890405"/>
    <w:rsid w:val="008927BA"/>
    <w:rsid w:val="008954A7"/>
    <w:rsid w:val="00896FA2"/>
    <w:rsid w:val="00897740"/>
    <w:rsid w:val="008A16DB"/>
    <w:rsid w:val="008A3592"/>
    <w:rsid w:val="008A584A"/>
    <w:rsid w:val="008A6FB9"/>
    <w:rsid w:val="008A7C1E"/>
    <w:rsid w:val="008B234B"/>
    <w:rsid w:val="008B2601"/>
    <w:rsid w:val="008B35DD"/>
    <w:rsid w:val="008B5070"/>
    <w:rsid w:val="008B5193"/>
    <w:rsid w:val="008B6B76"/>
    <w:rsid w:val="008C364E"/>
    <w:rsid w:val="008C43BB"/>
    <w:rsid w:val="008C4CCD"/>
    <w:rsid w:val="008D05DC"/>
    <w:rsid w:val="008D742F"/>
    <w:rsid w:val="008E06A1"/>
    <w:rsid w:val="008E0BC4"/>
    <w:rsid w:val="008E21D1"/>
    <w:rsid w:val="008E2B10"/>
    <w:rsid w:val="008E56ED"/>
    <w:rsid w:val="008E592F"/>
    <w:rsid w:val="008E7297"/>
    <w:rsid w:val="008F478A"/>
    <w:rsid w:val="00902593"/>
    <w:rsid w:val="00907E46"/>
    <w:rsid w:val="00911ECF"/>
    <w:rsid w:val="00913A3F"/>
    <w:rsid w:val="00913CC9"/>
    <w:rsid w:val="009144A0"/>
    <w:rsid w:val="00915CE8"/>
    <w:rsid w:val="0092052A"/>
    <w:rsid w:val="009212AF"/>
    <w:rsid w:val="0092231D"/>
    <w:rsid w:val="0092285F"/>
    <w:rsid w:val="00922DB0"/>
    <w:rsid w:val="009244CC"/>
    <w:rsid w:val="00927AC3"/>
    <w:rsid w:val="00931208"/>
    <w:rsid w:val="009325CC"/>
    <w:rsid w:val="0093769D"/>
    <w:rsid w:val="009417C1"/>
    <w:rsid w:val="009428C7"/>
    <w:rsid w:val="009461A5"/>
    <w:rsid w:val="00947D2A"/>
    <w:rsid w:val="009514DC"/>
    <w:rsid w:val="00951536"/>
    <w:rsid w:val="00952EC7"/>
    <w:rsid w:val="009531D6"/>
    <w:rsid w:val="009557AF"/>
    <w:rsid w:val="009561B0"/>
    <w:rsid w:val="00956BA5"/>
    <w:rsid w:val="00974D16"/>
    <w:rsid w:val="009758B9"/>
    <w:rsid w:val="00976780"/>
    <w:rsid w:val="0097718A"/>
    <w:rsid w:val="00983270"/>
    <w:rsid w:val="009835B9"/>
    <w:rsid w:val="00996079"/>
    <w:rsid w:val="00997CBE"/>
    <w:rsid w:val="009A2A18"/>
    <w:rsid w:val="009A58A8"/>
    <w:rsid w:val="009B25A1"/>
    <w:rsid w:val="009C2665"/>
    <w:rsid w:val="009C68EB"/>
    <w:rsid w:val="009C6EB5"/>
    <w:rsid w:val="009C7C5E"/>
    <w:rsid w:val="009C7D1B"/>
    <w:rsid w:val="009D13ED"/>
    <w:rsid w:val="009D4B0C"/>
    <w:rsid w:val="009D59FB"/>
    <w:rsid w:val="009E21F9"/>
    <w:rsid w:val="009E2B07"/>
    <w:rsid w:val="009E2B2E"/>
    <w:rsid w:val="009E6D4F"/>
    <w:rsid w:val="009E7B4F"/>
    <w:rsid w:val="009F3595"/>
    <w:rsid w:val="00A00015"/>
    <w:rsid w:val="00A007BC"/>
    <w:rsid w:val="00A01EE1"/>
    <w:rsid w:val="00A02F0A"/>
    <w:rsid w:val="00A03372"/>
    <w:rsid w:val="00A04076"/>
    <w:rsid w:val="00A0644F"/>
    <w:rsid w:val="00A1442D"/>
    <w:rsid w:val="00A166C9"/>
    <w:rsid w:val="00A217FD"/>
    <w:rsid w:val="00A229D7"/>
    <w:rsid w:val="00A22BE1"/>
    <w:rsid w:val="00A23F88"/>
    <w:rsid w:val="00A24B88"/>
    <w:rsid w:val="00A43872"/>
    <w:rsid w:val="00A45D9A"/>
    <w:rsid w:val="00A505D9"/>
    <w:rsid w:val="00A61BFB"/>
    <w:rsid w:val="00A61EAE"/>
    <w:rsid w:val="00A6321F"/>
    <w:rsid w:val="00A663D2"/>
    <w:rsid w:val="00A67C86"/>
    <w:rsid w:val="00A70621"/>
    <w:rsid w:val="00A708E2"/>
    <w:rsid w:val="00A72622"/>
    <w:rsid w:val="00A72C96"/>
    <w:rsid w:val="00A7429D"/>
    <w:rsid w:val="00A75C74"/>
    <w:rsid w:val="00A75E8B"/>
    <w:rsid w:val="00A77E23"/>
    <w:rsid w:val="00A80B70"/>
    <w:rsid w:val="00A825B3"/>
    <w:rsid w:val="00A846DC"/>
    <w:rsid w:val="00A85946"/>
    <w:rsid w:val="00A86704"/>
    <w:rsid w:val="00A91DA4"/>
    <w:rsid w:val="00A92932"/>
    <w:rsid w:val="00A945F8"/>
    <w:rsid w:val="00A96B46"/>
    <w:rsid w:val="00AA01D4"/>
    <w:rsid w:val="00AA18C9"/>
    <w:rsid w:val="00AA5AB3"/>
    <w:rsid w:val="00AA678A"/>
    <w:rsid w:val="00AA7905"/>
    <w:rsid w:val="00AA7971"/>
    <w:rsid w:val="00AB17E1"/>
    <w:rsid w:val="00AD0A16"/>
    <w:rsid w:val="00AD1575"/>
    <w:rsid w:val="00AD3A0D"/>
    <w:rsid w:val="00AD42A4"/>
    <w:rsid w:val="00AE0128"/>
    <w:rsid w:val="00AE0E17"/>
    <w:rsid w:val="00AE38E7"/>
    <w:rsid w:val="00AE4256"/>
    <w:rsid w:val="00B11606"/>
    <w:rsid w:val="00B12034"/>
    <w:rsid w:val="00B133A8"/>
    <w:rsid w:val="00B14152"/>
    <w:rsid w:val="00B16171"/>
    <w:rsid w:val="00B16EDF"/>
    <w:rsid w:val="00B178DF"/>
    <w:rsid w:val="00B20C67"/>
    <w:rsid w:val="00B20D44"/>
    <w:rsid w:val="00B22A5D"/>
    <w:rsid w:val="00B2559E"/>
    <w:rsid w:val="00B267C8"/>
    <w:rsid w:val="00B30153"/>
    <w:rsid w:val="00B3214C"/>
    <w:rsid w:val="00B337C2"/>
    <w:rsid w:val="00B34827"/>
    <w:rsid w:val="00B359E8"/>
    <w:rsid w:val="00B37957"/>
    <w:rsid w:val="00B41B71"/>
    <w:rsid w:val="00B45F3F"/>
    <w:rsid w:val="00B467CA"/>
    <w:rsid w:val="00B46BAD"/>
    <w:rsid w:val="00B52C6A"/>
    <w:rsid w:val="00B5344E"/>
    <w:rsid w:val="00B535D2"/>
    <w:rsid w:val="00B55289"/>
    <w:rsid w:val="00B57276"/>
    <w:rsid w:val="00B57D1B"/>
    <w:rsid w:val="00B6057C"/>
    <w:rsid w:val="00B634CE"/>
    <w:rsid w:val="00B64C21"/>
    <w:rsid w:val="00B650DE"/>
    <w:rsid w:val="00B669DA"/>
    <w:rsid w:val="00B741F9"/>
    <w:rsid w:val="00B744B1"/>
    <w:rsid w:val="00B76593"/>
    <w:rsid w:val="00B827D7"/>
    <w:rsid w:val="00B8329F"/>
    <w:rsid w:val="00B87B52"/>
    <w:rsid w:val="00B90878"/>
    <w:rsid w:val="00B91E59"/>
    <w:rsid w:val="00B92825"/>
    <w:rsid w:val="00B94F5E"/>
    <w:rsid w:val="00B9658B"/>
    <w:rsid w:val="00BA0F0C"/>
    <w:rsid w:val="00BA348E"/>
    <w:rsid w:val="00BA3802"/>
    <w:rsid w:val="00BA4B65"/>
    <w:rsid w:val="00BB3730"/>
    <w:rsid w:val="00BB3794"/>
    <w:rsid w:val="00BB38D9"/>
    <w:rsid w:val="00BB38F0"/>
    <w:rsid w:val="00BB7920"/>
    <w:rsid w:val="00BB7D6D"/>
    <w:rsid w:val="00BC2709"/>
    <w:rsid w:val="00BC6F64"/>
    <w:rsid w:val="00BC77EB"/>
    <w:rsid w:val="00BD2A56"/>
    <w:rsid w:val="00BD3CAD"/>
    <w:rsid w:val="00BD53E1"/>
    <w:rsid w:val="00BE49EF"/>
    <w:rsid w:val="00BE567A"/>
    <w:rsid w:val="00BF2422"/>
    <w:rsid w:val="00BF3E2C"/>
    <w:rsid w:val="00BF40B6"/>
    <w:rsid w:val="00BF46BE"/>
    <w:rsid w:val="00BF68CB"/>
    <w:rsid w:val="00BF7551"/>
    <w:rsid w:val="00C01F8F"/>
    <w:rsid w:val="00C03FDA"/>
    <w:rsid w:val="00C0577F"/>
    <w:rsid w:val="00C05CAF"/>
    <w:rsid w:val="00C11C92"/>
    <w:rsid w:val="00C120E4"/>
    <w:rsid w:val="00C176B4"/>
    <w:rsid w:val="00C20D5D"/>
    <w:rsid w:val="00C26857"/>
    <w:rsid w:val="00C27705"/>
    <w:rsid w:val="00C27F60"/>
    <w:rsid w:val="00C30207"/>
    <w:rsid w:val="00C30747"/>
    <w:rsid w:val="00C34E51"/>
    <w:rsid w:val="00C357C9"/>
    <w:rsid w:val="00C359A9"/>
    <w:rsid w:val="00C35E22"/>
    <w:rsid w:val="00C3618D"/>
    <w:rsid w:val="00C36C67"/>
    <w:rsid w:val="00C37D3B"/>
    <w:rsid w:val="00C401AB"/>
    <w:rsid w:val="00C41165"/>
    <w:rsid w:val="00C41F01"/>
    <w:rsid w:val="00C44B09"/>
    <w:rsid w:val="00C45AB5"/>
    <w:rsid w:val="00C47219"/>
    <w:rsid w:val="00C641F5"/>
    <w:rsid w:val="00C64547"/>
    <w:rsid w:val="00C649DC"/>
    <w:rsid w:val="00C70358"/>
    <w:rsid w:val="00C7362D"/>
    <w:rsid w:val="00C73FF3"/>
    <w:rsid w:val="00C75BA8"/>
    <w:rsid w:val="00C77B5C"/>
    <w:rsid w:val="00C809A8"/>
    <w:rsid w:val="00C8138A"/>
    <w:rsid w:val="00C8755F"/>
    <w:rsid w:val="00C878DB"/>
    <w:rsid w:val="00C97B27"/>
    <w:rsid w:val="00CA68D3"/>
    <w:rsid w:val="00CA74AA"/>
    <w:rsid w:val="00CB0F8B"/>
    <w:rsid w:val="00CB2C1D"/>
    <w:rsid w:val="00CB39E8"/>
    <w:rsid w:val="00CB768F"/>
    <w:rsid w:val="00CC20C4"/>
    <w:rsid w:val="00CC34B2"/>
    <w:rsid w:val="00CD090F"/>
    <w:rsid w:val="00CD1E25"/>
    <w:rsid w:val="00CD729A"/>
    <w:rsid w:val="00CE2575"/>
    <w:rsid w:val="00CE5EF3"/>
    <w:rsid w:val="00CF3C5A"/>
    <w:rsid w:val="00CF4E1C"/>
    <w:rsid w:val="00D015F0"/>
    <w:rsid w:val="00D02AC3"/>
    <w:rsid w:val="00D02E84"/>
    <w:rsid w:val="00D04ED1"/>
    <w:rsid w:val="00D05137"/>
    <w:rsid w:val="00D052CF"/>
    <w:rsid w:val="00D06F2F"/>
    <w:rsid w:val="00D06F39"/>
    <w:rsid w:val="00D071CF"/>
    <w:rsid w:val="00D072AF"/>
    <w:rsid w:val="00D0756E"/>
    <w:rsid w:val="00D10E81"/>
    <w:rsid w:val="00D124CB"/>
    <w:rsid w:val="00D12C62"/>
    <w:rsid w:val="00D16A67"/>
    <w:rsid w:val="00D177F7"/>
    <w:rsid w:val="00D17DA4"/>
    <w:rsid w:val="00D17E03"/>
    <w:rsid w:val="00D21726"/>
    <w:rsid w:val="00D2178A"/>
    <w:rsid w:val="00D233D6"/>
    <w:rsid w:val="00D2422B"/>
    <w:rsid w:val="00D30284"/>
    <w:rsid w:val="00D30B39"/>
    <w:rsid w:val="00D33C4E"/>
    <w:rsid w:val="00D358F7"/>
    <w:rsid w:val="00D3699A"/>
    <w:rsid w:val="00D40110"/>
    <w:rsid w:val="00D40B28"/>
    <w:rsid w:val="00D42B0F"/>
    <w:rsid w:val="00D51BDF"/>
    <w:rsid w:val="00D51DB7"/>
    <w:rsid w:val="00D523C6"/>
    <w:rsid w:val="00D530FF"/>
    <w:rsid w:val="00D56239"/>
    <w:rsid w:val="00D57938"/>
    <w:rsid w:val="00D700BB"/>
    <w:rsid w:val="00D70374"/>
    <w:rsid w:val="00D76283"/>
    <w:rsid w:val="00D80970"/>
    <w:rsid w:val="00D81A7A"/>
    <w:rsid w:val="00D824DC"/>
    <w:rsid w:val="00D827CD"/>
    <w:rsid w:val="00D83DFF"/>
    <w:rsid w:val="00D84F75"/>
    <w:rsid w:val="00D87443"/>
    <w:rsid w:val="00D91D95"/>
    <w:rsid w:val="00D92127"/>
    <w:rsid w:val="00D96755"/>
    <w:rsid w:val="00D97C8E"/>
    <w:rsid w:val="00D97E46"/>
    <w:rsid w:val="00DA4A57"/>
    <w:rsid w:val="00DA502C"/>
    <w:rsid w:val="00DB0717"/>
    <w:rsid w:val="00DB0FA2"/>
    <w:rsid w:val="00DB1964"/>
    <w:rsid w:val="00DB1E59"/>
    <w:rsid w:val="00DB2E92"/>
    <w:rsid w:val="00DB3CAC"/>
    <w:rsid w:val="00DB53A8"/>
    <w:rsid w:val="00DC14A4"/>
    <w:rsid w:val="00DC4793"/>
    <w:rsid w:val="00DC7843"/>
    <w:rsid w:val="00DD0263"/>
    <w:rsid w:val="00DD19FB"/>
    <w:rsid w:val="00DD56B7"/>
    <w:rsid w:val="00DD7835"/>
    <w:rsid w:val="00DE1948"/>
    <w:rsid w:val="00DE4C33"/>
    <w:rsid w:val="00DF2680"/>
    <w:rsid w:val="00DF3108"/>
    <w:rsid w:val="00DF433E"/>
    <w:rsid w:val="00DF60B1"/>
    <w:rsid w:val="00E002BB"/>
    <w:rsid w:val="00E02B7B"/>
    <w:rsid w:val="00E03973"/>
    <w:rsid w:val="00E03B20"/>
    <w:rsid w:val="00E07FD2"/>
    <w:rsid w:val="00E127D7"/>
    <w:rsid w:val="00E15C8A"/>
    <w:rsid w:val="00E1716B"/>
    <w:rsid w:val="00E21B14"/>
    <w:rsid w:val="00E23FF5"/>
    <w:rsid w:val="00E259C9"/>
    <w:rsid w:val="00E26FD9"/>
    <w:rsid w:val="00E306DE"/>
    <w:rsid w:val="00E33A4A"/>
    <w:rsid w:val="00E33EA1"/>
    <w:rsid w:val="00E35228"/>
    <w:rsid w:val="00E35C41"/>
    <w:rsid w:val="00E43861"/>
    <w:rsid w:val="00E45FD8"/>
    <w:rsid w:val="00E469C1"/>
    <w:rsid w:val="00E47A57"/>
    <w:rsid w:val="00E5044E"/>
    <w:rsid w:val="00E52214"/>
    <w:rsid w:val="00E538DD"/>
    <w:rsid w:val="00E60703"/>
    <w:rsid w:val="00E62342"/>
    <w:rsid w:val="00E63360"/>
    <w:rsid w:val="00E73341"/>
    <w:rsid w:val="00E8080E"/>
    <w:rsid w:val="00E80905"/>
    <w:rsid w:val="00E81634"/>
    <w:rsid w:val="00E83327"/>
    <w:rsid w:val="00E84765"/>
    <w:rsid w:val="00E85587"/>
    <w:rsid w:val="00E87CC2"/>
    <w:rsid w:val="00E922BF"/>
    <w:rsid w:val="00E9549D"/>
    <w:rsid w:val="00E969C5"/>
    <w:rsid w:val="00EA359E"/>
    <w:rsid w:val="00EA3A62"/>
    <w:rsid w:val="00EA5BEE"/>
    <w:rsid w:val="00EA6CD6"/>
    <w:rsid w:val="00EB00B1"/>
    <w:rsid w:val="00EB2CA1"/>
    <w:rsid w:val="00EB3EFB"/>
    <w:rsid w:val="00EB521F"/>
    <w:rsid w:val="00EC2FAD"/>
    <w:rsid w:val="00EC408D"/>
    <w:rsid w:val="00EC6421"/>
    <w:rsid w:val="00EC6DF6"/>
    <w:rsid w:val="00ED0EB8"/>
    <w:rsid w:val="00ED1570"/>
    <w:rsid w:val="00ED4307"/>
    <w:rsid w:val="00ED59BC"/>
    <w:rsid w:val="00ED63DD"/>
    <w:rsid w:val="00ED6891"/>
    <w:rsid w:val="00EE01FC"/>
    <w:rsid w:val="00EE05CF"/>
    <w:rsid w:val="00EE0EE7"/>
    <w:rsid w:val="00EE1504"/>
    <w:rsid w:val="00EE3367"/>
    <w:rsid w:val="00EE3CDD"/>
    <w:rsid w:val="00EE4DBF"/>
    <w:rsid w:val="00EE6A5A"/>
    <w:rsid w:val="00EE6E17"/>
    <w:rsid w:val="00EF4239"/>
    <w:rsid w:val="00EF60F3"/>
    <w:rsid w:val="00F01894"/>
    <w:rsid w:val="00F0326C"/>
    <w:rsid w:val="00F07F5C"/>
    <w:rsid w:val="00F120BD"/>
    <w:rsid w:val="00F20A76"/>
    <w:rsid w:val="00F21731"/>
    <w:rsid w:val="00F23848"/>
    <w:rsid w:val="00F23A92"/>
    <w:rsid w:val="00F27D92"/>
    <w:rsid w:val="00F3120C"/>
    <w:rsid w:val="00F34847"/>
    <w:rsid w:val="00F351C3"/>
    <w:rsid w:val="00F3581E"/>
    <w:rsid w:val="00F35EAB"/>
    <w:rsid w:val="00F37432"/>
    <w:rsid w:val="00F4111D"/>
    <w:rsid w:val="00F43261"/>
    <w:rsid w:val="00F459F0"/>
    <w:rsid w:val="00F464E6"/>
    <w:rsid w:val="00F46A1E"/>
    <w:rsid w:val="00F509AA"/>
    <w:rsid w:val="00F55775"/>
    <w:rsid w:val="00F557E8"/>
    <w:rsid w:val="00F55A34"/>
    <w:rsid w:val="00F56E3C"/>
    <w:rsid w:val="00F64EE9"/>
    <w:rsid w:val="00F66BC3"/>
    <w:rsid w:val="00F67533"/>
    <w:rsid w:val="00F716F6"/>
    <w:rsid w:val="00F71A0B"/>
    <w:rsid w:val="00F75A88"/>
    <w:rsid w:val="00F76701"/>
    <w:rsid w:val="00F803B2"/>
    <w:rsid w:val="00F80D2C"/>
    <w:rsid w:val="00F80FD9"/>
    <w:rsid w:val="00F820BF"/>
    <w:rsid w:val="00F86CC7"/>
    <w:rsid w:val="00F930B1"/>
    <w:rsid w:val="00F966B9"/>
    <w:rsid w:val="00FA009E"/>
    <w:rsid w:val="00FA0C2D"/>
    <w:rsid w:val="00FA313F"/>
    <w:rsid w:val="00FA3342"/>
    <w:rsid w:val="00FA3364"/>
    <w:rsid w:val="00FA3498"/>
    <w:rsid w:val="00FA5FEF"/>
    <w:rsid w:val="00FA6FEC"/>
    <w:rsid w:val="00FB1773"/>
    <w:rsid w:val="00FB288A"/>
    <w:rsid w:val="00FB3035"/>
    <w:rsid w:val="00FB513F"/>
    <w:rsid w:val="00FC01DA"/>
    <w:rsid w:val="00FC21B8"/>
    <w:rsid w:val="00FC21F0"/>
    <w:rsid w:val="00FC5477"/>
    <w:rsid w:val="00FD10F7"/>
    <w:rsid w:val="00FD3726"/>
    <w:rsid w:val="00FD42F6"/>
    <w:rsid w:val="00FD4A3C"/>
    <w:rsid w:val="00FD5544"/>
    <w:rsid w:val="00FD610A"/>
    <w:rsid w:val="00FD66D8"/>
    <w:rsid w:val="00FE42D8"/>
    <w:rsid w:val="00FF00F4"/>
    <w:rsid w:val="00FF0EA2"/>
    <w:rsid w:val="00FF13A7"/>
    <w:rsid w:val="00FF5A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A9E0BB"/>
  <w15:docId w15:val="{2A0D539E-285E-47C3-9B75-044242876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A530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3010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3010A"/>
    <w:rPr>
      <w:rFonts w:ascii="Tahoma" w:hAnsi="Tahoma" w:cs="Tahoma"/>
      <w:sz w:val="16"/>
      <w:szCs w:val="16"/>
    </w:rPr>
  </w:style>
  <w:style w:type="paragraph" w:styleId="Zhlav">
    <w:name w:val="header"/>
    <w:basedOn w:val="Normln"/>
    <w:link w:val="ZhlavChar"/>
    <w:uiPriority w:val="99"/>
    <w:unhideWhenUsed/>
    <w:rsid w:val="00D06F3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06F39"/>
  </w:style>
  <w:style w:type="paragraph" w:styleId="Zpat">
    <w:name w:val="footer"/>
    <w:basedOn w:val="Normln"/>
    <w:link w:val="ZpatChar"/>
    <w:uiPriority w:val="99"/>
    <w:unhideWhenUsed/>
    <w:rsid w:val="00D06F39"/>
    <w:pPr>
      <w:tabs>
        <w:tab w:val="center" w:pos="4536"/>
        <w:tab w:val="right" w:pos="9072"/>
      </w:tabs>
      <w:spacing w:after="0" w:line="240" w:lineRule="auto"/>
    </w:pPr>
  </w:style>
  <w:style w:type="character" w:customStyle="1" w:styleId="ZpatChar">
    <w:name w:val="Zápatí Char"/>
    <w:basedOn w:val="Standardnpsmoodstavce"/>
    <w:link w:val="Zpat"/>
    <w:uiPriority w:val="99"/>
    <w:rsid w:val="00D06F39"/>
  </w:style>
  <w:style w:type="paragraph" w:styleId="Odstavecseseznamem">
    <w:name w:val="List Paragraph"/>
    <w:basedOn w:val="Normln"/>
    <w:link w:val="OdstavecseseznamemChar"/>
    <w:uiPriority w:val="34"/>
    <w:qFormat/>
    <w:rsid w:val="00F557E8"/>
    <w:pPr>
      <w:ind w:left="720"/>
      <w:contextualSpacing/>
    </w:pPr>
  </w:style>
  <w:style w:type="character" w:styleId="Hypertextovodkaz">
    <w:name w:val="Hyperlink"/>
    <w:unhideWhenUsed/>
    <w:rsid w:val="00EC6421"/>
    <w:rPr>
      <w:color w:val="0000FF"/>
      <w:u w:val="single"/>
    </w:rPr>
  </w:style>
  <w:style w:type="table" w:styleId="Mkatabulky">
    <w:name w:val="Table Grid"/>
    <w:basedOn w:val="Normlntabulka"/>
    <w:uiPriority w:val="59"/>
    <w:rsid w:val="00EC6421"/>
    <w:pPr>
      <w:spacing w:after="0" w:line="240" w:lineRule="auto"/>
    </w:pPr>
    <w:rPr>
      <w:rFonts w:ascii="Calibri" w:eastAsia="Calibri" w:hAnsi="Calibri"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uiPriority w:val="99"/>
    <w:semiHidden/>
    <w:unhideWhenUsed/>
    <w:rsid w:val="00EC6421"/>
    <w:rPr>
      <w:sz w:val="16"/>
      <w:szCs w:val="16"/>
    </w:rPr>
  </w:style>
  <w:style w:type="paragraph" w:styleId="Textkomente">
    <w:name w:val="annotation text"/>
    <w:basedOn w:val="Normln"/>
    <w:link w:val="TextkomenteChar"/>
    <w:uiPriority w:val="99"/>
    <w:semiHidden/>
    <w:unhideWhenUsed/>
    <w:rsid w:val="00EC6421"/>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EC6421"/>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EC6421"/>
    <w:rPr>
      <w:b/>
      <w:bCs/>
    </w:rPr>
  </w:style>
  <w:style w:type="character" w:customStyle="1" w:styleId="PedmtkomenteChar">
    <w:name w:val="Předmět komentáře Char"/>
    <w:basedOn w:val="TextkomenteChar"/>
    <w:link w:val="Pedmtkomente"/>
    <w:uiPriority w:val="99"/>
    <w:semiHidden/>
    <w:rsid w:val="00EC6421"/>
    <w:rPr>
      <w:rFonts w:ascii="Calibri" w:eastAsia="Calibri" w:hAnsi="Calibri" w:cs="Times New Roman"/>
      <w:b/>
      <w:bCs/>
      <w:sz w:val="20"/>
      <w:szCs w:val="20"/>
    </w:rPr>
  </w:style>
  <w:style w:type="paragraph" w:styleId="Revize">
    <w:name w:val="Revision"/>
    <w:hidden/>
    <w:uiPriority w:val="99"/>
    <w:semiHidden/>
    <w:rsid w:val="00EC6421"/>
    <w:pPr>
      <w:spacing w:after="0" w:line="240" w:lineRule="auto"/>
    </w:pPr>
    <w:rPr>
      <w:rFonts w:ascii="Calibri" w:eastAsia="Calibri" w:hAnsi="Calibri" w:cs="Times New Roman"/>
    </w:rPr>
  </w:style>
  <w:style w:type="paragraph" w:customStyle="1" w:styleId="NormalU">
    <w:name w:val="NormalU"/>
    <w:basedOn w:val="Normln"/>
    <w:link w:val="NormalUChar"/>
    <w:qFormat/>
    <w:rsid w:val="00EC6421"/>
    <w:pPr>
      <w:tabs>
        <w:tab w:val="left" w:pos="284"/>
        <w:tab w:val="left" w:pos="567"/>
        <w:tab w:val="left" w:pos="709"/>
        <w:tab w:val="left" w:pos="993"/>
        <w:tab w:val="left" w:pos="1276"/>
        <w:tab w:val="left" w:pos="1560"/>
      </w:tabs>
      <w:spacing w:afterLines="30" w:line="240" w:lineRule="auto"/>
      <w:ind w:left="3969" w:hanging="3969"/>
      <w:jc w:val="both"/>
    </w:pPr>
    <w:rPr>
      <w:rFonts w:ascii="Arial" w:eastAsia="Times New Roman" w:hAnsi="Arial" w:cs="Times New Roman"/>
      <w:szCs w:val="24"/>
    </w:rPr>
  </w:style>
  <w:style w:type="character" w:customStyle="1" w:styleId="NormalUChar">
    <w:name w:val="NormalU Char"/>
    <w:link w:val="NormalU"/>
    <w:rsid w:val="00EC6421"/>
    <w:rPr>
      <w:rFonts w:ascii="Arial" w:eastAsia="Times New Roman" w:hAnsi="Arial" w:cs="Times New Roman"/>
      <w:szCs w:val="24"/>
    </w:rPr>
  </w:style>
  <w:style w:type="paragraph" w:customStyle="1" w:styleId="Default">
    <w:name w:val="Default"/>
    <w:rsid w:val="00DF3108"/>
    <w:pPr>
      <w:autoSpaceDE w:val="0"/>
      <w:autoSpaceDN w:val="0"/>
      <w:adjustRightInd w:val="0"/>
      <w:spacing w:after="0" w:line="240" w:lineRule="auto"/>
    </w:pPr>
    <w:rPr>
      <w:rFonts w:ascii="Arial" w:hAnsi="Arial" w:cs="Arial"/>
      <w:color w:val="000000"/>
      <w:sz w:val="24"/>
      <w:szCs w:val="24"/>
    </w:rPr>
  </w:style>
  <w:style w:type="paragraph" w:styleId="Textpoznpodarou">
    <w:name w:val="footnote text"/>
    <w:basedOn w:val="Normln"/>
    <w:link w:val="TextpoznpodarouChar"/>
    <w:rsid w:val="00756224"/>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756224"/>
    <w:rPr>
      <w:rFonts w:ascii="Times New Roman" w:eastAsia="Times New Roman" w:hAnsi="Times New Roman" w:cs="Times New Roman"/>
      <w:sz w:val="20"/>
      <w:szCs w:val="20"/>
      <w:lang w:eastAsia="cs-CZ"/>
    </w:rPr>
  </w:style>
  <w:style w:type="character" w:styleId="Znakapoznpodarou">
    <w:name w:val="footnote reference"/>
    <w:rsid w:val="00756224"/>
    <w:rPr>
      <w:vertAlign w:val="superscript"/>
    </w:rPr>
  </w:style>
  <w:style w:type="character" w:customStyle="1" w:styleId="datalabel">
    <w:name w:val="datalabel"/>
    <w:rsid w:val="00D51DB7"/>
  </w:style>
  <w:style w:type="paragraph" w:styleId="Bezmezer">
    <w:name w:val="No Spacing"/>
    <w:qFormat/>
    <w:rsid w:val="00D51DB7"/>
    <w:pPr>
      <w:suppressAutoHyphens/>
      <w:spacing w:after="0" w:line="240" w:lineRule="auto"/>
    </w:pPr>
    <w:rPr>
      <w:rFonts w:ascii="Tahoma" w:eastAsia="Tahoma" w:hAnsi="Tahoma" w:cs="TimesNewRoman"/>
      <w:lang w:eastAsia="ar-SA"/>
    </w:rPr>
  </w:style>
  <w:style w:type="paragraph" w:customStyle="1" w:styleId="Tabulkatext">
    <w:name w:val="Tabulka text"/>
    <w:link w:val="TabulkatextChar"/>
    <w:uiPriority w:val="6"/>
    <w:qFormat/>
    <w:rsid w:val="00FC5477"/>
    <w:pPr>
      <w:spacing w:before="60" w:after="60" w:line="240" w:lineRule="auto"/>
      <w:ind w:left="57" w:right="57"/>
    </w:pPr>
    <w:rPr>
      <w:color w:val="080808"/>
      <w:sz w:val="20"/>
    </w:rPr>
  </w:style>
  <w:style w:type="character" w:customStyle="1" w:styleId="TabulkatextChar">
    <w:name w:val="Tabulka text Char"/>
    <w:basedOn w:val="Standardnpsmoodstavce"/>
    <w:link w:val="Tabulkatext"/>
    <w:uiPriority w:val="6"/>
    <w:rsid w:val="00FC5477"/>
    <w:rPr>
      <w:color w:val="080808"/>
      <w:sz w:val="20"/>
    </w:rPr>
  </w:style>
  <w:style w:type="paragraph" w:styleId="Nzev">
    <w:name w:val="Title"/>
    <w:basedOn w:val="Normln"/>
    <w:link w:val="NzevChar"/>
    <w:qFormat/>
    <w:rsid w:val="00FC5477"/>
    <w:pPr>
      <w:spacing w:after="0" w:line="312" w:lineRule="auto"/>
      <w:contextualSpacing/>
    </w:pPr>
    <w:rPr>
      <w:rFonts w:asciiTheme="majorHAnsi" w:eastAsiaTheme="majorEastAsia" w:hAnsiTheme="majorHAnsi" w:cstheme="majorBidi"/>
      <w:b/>
      <w:caps/>
      <w:kern w:val="28"/>
      <w:sz w:val="64"/>
      <w:szCs w:val="52"/>
    </w:rPr>
  </w:style>
  <w:style w:type="character" w:customStyle="1" w:styleId="NzevChar">
    <w:name w:val="Název Char"/>
    <w:basedOn w:val="Standardnpsmoodstavce"/>
    <w:link w:val="Nzev"/>
    <w:rsid w:val="00FC5477"/>
    <w:rPr>
      <w:rFonts w:asciiTheme="majorHAnsi" w:eastAsiaTheme="majorEastAsia" w:hAnsiTheme="majorHAnsi" w:cstheme="majorBidi"/>
      <w:b/>
      <w:caps/>
      <w:kern w:val="28"/>
      <w:sz w:val="64"/>
      <w:szCs w:val="52"/>
    </w:rPr>
  </w:style>
  <w:style w:type="paragraph" w:customStyle="1" w:styleId="slovn1">
    <w:name w:val="Číslování 1"/>
    <w:basedOn w:val="Odstavecseseznamem"/>
    <w:link w:val="slovn1Char"/>
    <w:uiPriority w:val="5"/>
    <w:qFormat/>
    <w:rsid w:val="00FC5477"/>
    <w:pPr>
      <w:numPr>
        <w:numId w:val="9"/>
      </w:numPr>
      <w:spacing w:after="220" w:line="240" w:lineRule="auto"/>
      <w:jc w:val="both"/>
    </w:pPr>
  </w:style>
  <w:style w:type="character" w:customStyle="1" w:styleId="slovn1Char">
    <w:name w:val="Číslování 1 Char"/>
    <w:basedOn w:val="Standardnpsmoodstavce"/>
    <w:link w:val="slovn1"/>
    <w:uiPriority w:val="5"/>
    <w:rsid w:val="00FC5477"/>
  </w:style>
  <w:style w:type="paragraph" w:customStyle="1" w:styleId="slovn2">
    <w:name w:val="Číslování 2"/>
    <w:basedOn w:val="slovn1"/>
    <w:uiPriority w:val="5"/>
    <w:qFormat/>
    <w:rsid w:val="00FC5477"/>
    <w:pPr>
      <w:numPr>
        <w:ilvl w:val="1"/>
      </w:numPr>
      <w:tabs>
        <w:tab w:val="clear" w:pos="794"/>
      </w:tabs>
      <w:ind w:left="780" w:hanging="420"/>
    </w:pPr>
  </w:style>
  <w:style w:type="paragraph" w:customStyle="1" w:styleId="slovn3">
    <w:name w:val="Číslování 3"/>
    <w:basedOn w:val="slovn2"/>
    <w:uiPriority w:val="5"/>
    <w:qFormat/>
    <w:rsid w:val="00FC5477"/>
    <w:pPr>
      <w:numPr>
        <w:ilvl w:val="2"/>
      </w:numPr>
      <w:tabs>
        <w:tab w:val="clear" w:pos="1191"/>
      </w:tabs>
      <w:ind w:left="1080" w:hanging="720"/>
    </w:pPr>
  </w:style>
  <w:style w:type="paragraph" w:customStyle="1" w:styleId="slovn4">
    <w:name w:val="Číslování 4"/>
    <w:basedOn w:val="slovn3"/>
    <w:uiPriority w:val="5"/>
    <w:qFormat/>
    <w:rsid w:val="00FC5477"/>
    <w:pPr>
      <w:numPr>
        <w:ilvl w:val="3"/>
      </w:numPr>
      <w:tabs>
        <w:tab w:val="clear" w:pos="1588"/>
      </w:tabs>
      <w:ind w:left="1440" w:hanging="1080"/>
    </w:pPr>
  </w:style>
  <w:style w:type="paragraph" w:customStyle="1" w:styleId="slovn5">
    <w:name w:val="Číslování 5"/>
    <w:basedOn w:val="slovn4"/>
    <w:uiPriority w:val="5"/>
    <w:qFormat/>
    <w:rsid w:val="00FC5477"/>
    <w:pPr>
      <w:numPr>
        <w:ilvl w:val="4"/>
      </w:numPr>
      <w:tabs>
        <w:tab w:val="clear" w:pos="1985"/>
      </w:tabs>
      <w:ind w:left="1440" w:hanging="1080"/>
    </w:pPr>
  </w:style>
  <w:style w:type="paragraph" w:customStyle="1" w:styleId="slovn110">
    <w:name w:val="Číslování 110"/>
    <w:basedOn w:val="Odstavecseseznamem"/>
    <w:uiPriority w:val="5"/>
    <w:qFormat/>
    <w:rsid w:val="00FC5477"/>
    <w:pPr>
      <w:tabs>
        <w:tab w:val="num" w:pos="397"/>
      </w:tabs>
      <w:spacing w:after="220" w:line="240" w:lineRule="auto"/>
      <w:ind w:left="397" w:hanging="397"/>
      <w:jc w:val="both"/>
    </w:pPr>
  </w:style>
  <w:style w:type="character" w:styleId="Sledovanodkaz">
    <w:name w:val="FollowedHyperlink"/>
    <w:basedOn w:val="Standardnpsmoodstavce"/>
    <w:uiPriority w:val="99"/>
    <w:semiHidden/>
    <w:unhideWhenUsed/>
    <w:rsid w:val="00D177F7"/>
    <w:rPr>
      <w:color w:val="800080" w:themeColor="followedHyperlink"/>
      <w:u w:val="single"/>
    </w:rPr>
  </w:style>
  <w:style w:type="character" w:styleId="Siln">
    <w:name w:val="Strong"/>
    <w:basedOn w:val="Standardnpsmoodstavce"/>
    <w:uiPriority w:val="22"/>
    <w:qFormat/>
    <w:rsid w:val="004E4EF8"/>
    <w:rPr>
      <w:b/>
      <w:bCs/>
    </w:rPr>
  </w:style>
  <w:style w:type="character" w:customStyle="1" w:styleId="OdstavecseseznamemChar">
    <w:name w:val="Odstavec se seznamem Char"/>
    <w:link w:val="Odstavecseseznamem"/>
    <w:uiPriority w:val="34"/>
    <w:rsid w:val="001F66C7"/>
  </w:style>
  <w:style w:type="paragraph" w:styleId="Zkladntextodsazen3">
    <w:name w:val="Body Text Indent 3"/>
    <w:basedOn w:val="Normln"/>
    <w:link w:val="Zkladntextodsazen3Char"/>
    <w:semiHidden/>
    <w:rsid w:val="00922DB0"/>
    <w:pPr>
      <w:spacing w:after="0" w:line="240" w:lineRule="auto"/>
      <w:ind w:firstLine="708"/>
      <w:jc w:val="both"/>
    </w:pPr>
    <w:rPr>
      <w:rFonts w:ascii="Times New Roman" w:eastAsia="Times New Roman" w:hAnsi="Times New Roman" w:cs="Times New Roman"/>
      <w:sz w:val="24"/>
      <w:szCs w:val="24"/>
    </w:rPr>
  </w:style>
  <w:style w:type="character" w:customStyle="1" w:styleId="Zkladntextodsazen3Char">
    <w:name w:val="Základní text odsazený 3 Char"/>
    <w:basedOn w:val="Standardnpsmoodstavce"/>
    <w:link w:val="Zkladntextodsazen3"/>
    <w:semiHidden/>
    <w:rsid w:val="00922DB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69024">
      <w:bodyDiv w:val="1"/>
      <w:marLeft w:val="0"/>
      <w:marRight w:val="0"/>
      <w:marTop w:val="0"/>
      <w:marBottom w:val="0"/>
      <w:divBdr>
        <w:top w:val="none" w:sz="0" w:space="0" w:color="auto"/>
        <w:left w:val="none" w:sz="0" w:space="0" w:color="auto"/>
        <w:bottom w:val="none" w:sz="0" w:space="0" w:color="auto"/>
        <w:right w:val="none" w:sz="0" w:space="0" w:color="auto"/>
      </w:divBdr>
    </w:div>
    <w:div w:id="101269052">
      <w:bodyDiv w:val="1"/>
      <w:marLeft w:val="0"/>
      <w:marRight w:val="0"/>
      <w:marTop w:val="0"/>
      <w:marBottom w:val="0"/>
      <w:divBdr>
        <w:top w:val="none" w:sz="0" w:space="0" w:color="auto"/>
        <w:left w:val="none" w:sz="0" w:space="0" w:color="auto"/>
        <w:bottom w:val="none" w:sz="0" w:space="0" w:color="auto"/>
        <w:right w:val="none" w:sz="0" w:space="0" w:color="auto"/>
      </w:divBdr>
    </w:div>
    <w:div w:id="105274217">
      <w:bodyDiv w:val="1"/>
      <w:marLeft w:val="0"/>
      <w:marRight w:val="0"/>
      <w:marTop w:val="0"/>
      <w:marBottom w:val="0"/>
      <w:divBdr>
        <w:top w:val="none" w:sz="0" w:space="0" w:color="auto"/>
        <w:left w:val="none" w:sz="0" w:space="0" w:color="auto"/>
        <w:bottom w:val="none" w:sz="0" w:space="0" w:color="auto"/>
        <w:right w:val="none" w:sz="0" w:space="0" w:color="auto"/>
      </w:divBdr>
    </w:div>
    <w:div w:id="124353681">
      <w:bodyDiv w:val="1"/>
      <w:marLeft w:val="0"/>
      <w:marRight w:val="0"/>
      <w:marTop w:val="0"/>
      <w:marBottom w:val="0"/>
      <w:divBdr>
        <w:top w:val="none" w:sz="0" w:space="0" w:color="auto"/>
        <w:left w:val="none" w:sz="0" w:space="0" w:color="auto"/>
        <w:bottom w:val="none" w:sz="0" w:space="0" w:color="auto"/>
        <w:right w:val="none" w:sz="0" w:space="0" w:color="auto"/>
      </w:divBdr>
    </w:div>
    <w:div w:id="136725862">
      <w:bodyDiv w:val="1"/>
      <w:marLeft w:val="0"/>
      <w:marRight w:val="0"/>
      <w:marTop w:val="0"/>
      <w:marBottom w:val="0"/>
      <w:divBdr>
        <w:top w:val="none" w:sz="0" w:space="0" w:color="auto"/>
        <w:left w:val="none" w:sz="0" w:space="0" w:color="auto"/>
        <w:bottom w:val="none" w:sz="0" w:space="0" w:color="auto"/>
        <w:right w:val="none" w:sz="0" w:space="0" w:color="auto"/>
      </w:divBdr>
    </w:div>
    <w:div w:id="168376406">
      <w:bodyDiv w:val="1"/>
      <w:marLeft w:val="0"/>
      <w:marRight w:val="0"/>
      <w:marTop w:val="0"/>
      <w:marBottom w:val="0"/>
      <w:divBdr>
        <w:top w:val="none" w:sz="0" w:space="0" w:color="auto"/>
        <w:left w:val="none" w:sz="0" w:space="0" w:color="auto"/>
        <w:bottom w:val="none" w:sz="0" w:space="0" w:color="auto"/>
        <w:right w:val="none" w:sz="0" w:space="0" w:color="auto"/>
      </w:divBdr>
    </w:div>
    <w:div w:id="223562751">
      <w:bodyDiv w:val="1"/>
      <w:marLeft w:val="0"/>
      <w:marRight w:val="0"/>
      <w:marTop w:val="0"/>
      <w:marBottom w:val="0"/>
      <w:divBdr>
        <w:top w:val="none" w:sz="0" w:space="0" w:color="auto"/>
        <w:left w:val="none" w:sz="0" w:space="0" w:color="auto"/>
        <w:bottom w:val="none" w:sz="0" w:space="0" w:color="auto"/>
        <w:right w:val="none" w:sz="0" w:space="0" w:color="auto"/>
      </w:divBdr>
      <w:divsChild>
        <w:div w:id="625351088">
          <w:marLeft w:val="0"/>
          <w:marRight w:val="0"/>
          <w:marTop w:val="0"/>
          <w:marBottom w:val="0"/>
          <w:divBdr>
            <w:top w:val="none" w:sz="0" w:space="0" w:color="auto"/>
            <w:left w:val="none" w:sz="0" w:space="0" w:color="auto"/>
            <w:bottom w:val="none" w:sz="0" w:space="0" w:color="auto"/>
            <w:right w:val="none" w:sz="0" w:space="0" w:color="auto"/>
          </w:divBdr>
          <w:divsChild>
            <w:div w:id="1917740817">
              <w:marLeft w:val="0"/>
              <w:marRight w:val="0"/>
              <w:marTop w:val="0"/>
              <w:marBottom w:val="0"/>
              <w:divBdr>
                <w:top w:val="none" w:sz="0" w:space="0" w:color="auto"/>
                <w:left w:val="none" w:sz="0" w:space="0" w:color="auto"/>
                <w:bottom w:val="none" w:sz="0" w:space="0" w:color="auto"/>
                <w:right w:val="none" w:sz="0" w:space="0" w:color="auto"/>
              </w:divBdr>
              <w:divsChild>
                <w:div w:id="140776656">
                  <w:marLeft w:val="0"/>
                  <w:marRight w:val="0"/>
                  <w:marTop w:val="100"/>
                  <w:marBottom w:val="100"/>
                  <w:divBdr>
                    <w:top w:val="none" w:sz="0" w:space="0" w:color="auto"/>
                    <w:left w:val="none" w:sz="0" w:space="0" w:color="auto"/>
                    <w:bottom w:val="none" w:sz="0" w:space="0" w:color="auto"/>
                    <w:right w:val="none" w:sz="0" w:space="0" w:color="auto"/>
                  </w:divBdr>
                  <w:divsChild>
                    <w:div w:id="1543906110">
                      <w:marLeft w:val="0"/>
                      <w:marRight w:val="0"/>
                      <w:marTop w:val="0"/>
                      <w:marBottom w:val="0"/>
                      <w:divBdr>
                        <w:top w:val="none" w:sz="0" w:space="0" w:color="auto"/>
                        <w:left w:val="none" w:sz="0" w:space="0" w:color="auto"/>
                        <w:bottom w:val="none" w:sz="0" w:space="0" w:color="auto"/>
                        <w:right w:val="none" w:sz="0" w:space="0" w:color="auto"/>
                      </w:divBdr>
                      <w:divsChild>
                        <w:div w:id="630013145">
                          <w:marLeft w:val="0"/>
                          <w:marRight w:val="0"/>
                          <w:marTop w:val="0"/>
                          <w:marBottom w:val="0"/>
                          <w:divBdr>
                            <w:top w:val="none" w:sz="0" w:space="0" w:color="auto"/>
                            <w:left w:val="none" w:sz="0" w:space="0" w:color="auto"/>
                            <w:bottom w:val="none" w:sz="0" w:space="0" w:color="auto"/>
                            <w:right w:val="none" w:sz="0" w:space="0" w:color="auto"/>
                          </w:divBdr>
                          <w:divsChild>
                            <w:div w:id="19009387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979302">
      <w:bodyDiv w:val="1"/>
      <w:marLeft w:val="0"/>
      <w:marRight w:val="0"/>
      <w:marTop w:val="0"/>
      <w:marBottom w:val="0"/>
      <w:divBdr>
        <w:top w:val="none" w:sz="0" w:space="0" w:color="auto"/>
        <w:left w:val="none" w:sz="0" w:space="0" w:color="auto"/>
        <w:bottom w:val="none" w:sz="0" w:space="0" w:color="auto"/>
        <w:right w:val="none" w:sz="0" w:space="0" w:color="auto"/>
      </w:divBdr>
    </w:div>
    <w:div w:id="349569435">
      <w:bodyDiv w:val="1"/>
      <w:marLeft w:val="0"/>
      <w:marRight w:val="0"/>
      <w:marTop w:val="0"/>
      <w:marBottom w:val="0"/>
      <w:divBdr>
        <w:top w:val="none" w:sz="0" w:space="0" w:color="auto"/>
        <w:left w:val="none" w:sz="0" w:space="0" w:color="auto"/>
        <w:bottom w:val="none" w:sz="0" w:space="0" w:color="auto"/>
        <w:right w:val="none" w:sz="0" w:space="0" w:color="auto"/>
      </w:divBdr>
    </w:div>
    <w:div w:id="457837994">
      <w:bodyDiv w:val="1"/>
      <w:marLeft w:val="0"/>
      <w:marRight w:val="0"/>
      <w:marTop w:val="0"/>
      <w:marBottom w:val="0"/>
      <w:divBdr>
        <w:top w:val="none" w:sz="0" w:space="0" w:color="auto"/>
        <w:left w:val="none" w:sz="0" w:space="0" w:color="auto"/>
        <w:bottom w:val="none" w:sz="0" w:space="0" w:color="auto"/>
        <w:right w:val="none" w:sz="0" w:space="0" w:color="auto"/>
      </w:divBdr>
    </w:div>
    <w:div w:id="462114954">
      <w:bodyDiv w:val="1"/>
      <w:marLeft w:val="0"/>
      <w:marRight w:val="0"/>
      <w:marTop w:val="0"/>
      <w:marBottom w:val="0"/>
      <w:divBdr>
        <w:top w:val="none" w:sz="0" w:space="0" w:color="auto"/>
        <w:left w:val="none" w:sz="0" w:space="0" w:color="auto"/>
        <w:bottom w:val="none" w:sz="0" w:space="0" w:color="auto"/>
        <w:right w:val="none" w:sz="0" w:space="0" w:color="auto"/>
      </w:divBdr>
    </w:div>
    <w:div w:id="481195429">
      <w:bodyDiv w:val="1"/>
      <w:marLeft w:val="0"/>
      <w:marRight w:val="0"/>
      <w:marTop w:val="0"/>
      <w:marBottom w:val="0"/>
      <w:divBdr>
        <w:top w:val="none" w:sz="0" w:space="0" w:color="auto"/>
        <w:left w:val="none" w:sz="0" w:space="0" w:color="auto"/>
        <w:bottom w:val="none" w:sz="0" w:space="0" w:color="auto"/>
        <w:right w:val="none" w:sz="0" w:space="0" w:color="auto"/>
      </w:divBdr>
    </w:div>
    <w:div w:id="584609337">
      <w:bodyDiv w:val="1"/>
      <w:marLeft w:val="0"/>
      <w:marRight w:val="0"/>
      <w:marTop w:val="0"/>
      <w:marBottom w:val="0"/>
      <w:divBdr>
        <w:top w:val="none" w:sz="0" w:space="0" w:color="auto"/>
        <w:left w:val="none" w:sz="0" w:space="0" w:color="auto"/>
        <w:bottom w:val="none" w:sz="0" w:space="0" w:color="auto"/>
        <w:right w:val="none" w:sz="0" w:space="0" w:color="auto"/>
      </w:divBdr>
    </w:div>
    <w:div w:id="596327880">
      <w:bodyDiv w:val="1"/>
      <w:marLeft w:val="0"/>
      <w:marRight w:val="0"/>
      <w:marTop w:val="0"/>
      <w:marBottom w:val="0"/>
      <w:divBdr>
        <w:top w:val="none" w:sz="0" w:space="0" w:color="auto"/>
        <w:left w:val="none" w:sz="0" w:space="0" w:color="auto"/>
        <w:bottom w:val="none" w:sz="0" w:space="0" w:color="auto"/>
        <w:right w:val="none" w:sz="0" w:space="0" w:color="auto"/>
      </w:divBdr>
    </w:div>
    <w:div w:id="685793822">
      <w:bodyDiv w:val="1"/>
      <w:marLeft w:val="0"/>
      <w:marRight w:val="0"/>
      <w:marTop w:val="0"/>
      <w:marBottom w:val="0"/>
      <w:divBdr>
        <w:top w:val="none" w:sz="0" w:space="0" w:color="auto"/>
        <w:left w:val="none" w:sz="0" w:space="0" w:color="auto"/>
        <w:bottom w:val="none" w:sz="0" w:space="0" w:color="auto"/>
        <w:right w:val="none" w:sz="0" w:space="0" w:color="auto"/>
      </w:divBdr>
    </w:div>
    <w:div w:id="688874882">
      <w:bodyDiv w:val="1"/>
      <w:marLeft w:val="0"/>
      <w:marRight w:val="0"/>
      <w:marTop w:val="0"/>
      <w:marBottom w:val="0"/>
      <w:divBdr>
        <w:top w:val="none" w:sz="0" w:space="0" w:color="auto"/>
        <w:left w:val="none" w:sz="0" w:space="0" w:color="auto"/>
        <w:bottom w:val="none" w:sz="0" w:space="0" w:color="auto"/>
        <w:right w:val="none" w:sz="0" w:space="0" w:color="auto"/>
      </w:divBdr>
    </w:div>
    <w:div w:id="734352052">
      <w:bodyDiv w:val="1"/>
      <w:marLeft w:val="0"/>
      <w:marRight w:val="0"/>
      <w:marTop w:val="0"/>
      <w:marBottom w:val="0"/>
      <w:divBdr>
        <w:top w:val="none" w:sz="0" w:space="0" w:color="auto"/>
        <w:left w:val="none" w:sz="0" w:space="0" w:color="auto"/>
        <w:bottom w:val="none" w:sz="0" w:space="0" w:color="auto"/>
        <w:right w:val="none" w:sz="0" w:space="0" w:color="auto"/>
      </w:divBdr>
    </w:div>
    <w:div w:id="767971585">
      <w:bodyDiv w:val="1"/>
      <w:marLeft w:val="0"/>
      <w:marRight w:val="0"/>
      <w:marTop w:val="0"/>
      <w:marBottom w:val="0"/>
      <w:divBdr>
        <w:top w:val="none" w:sz="0" w:space="0" w:color="auto"/>
        <w:left w:val="none" w:sz="0" w:space="0" w:color="auto"/>
        <w:bottom w:val="none" w:sz="0" w:space="0" w:color="auto"/>
        <w:right w:val="none" w:sz="0" w:space="0" w:color="auto"/>
      </w:divBdr>
    </w:div>
    <w:div w:id="772046681">
      <w:bodyDiv w:val="1"/>
      <w:marLeft w:val="0"/>
      <w:marRight w:val="0"/>
      <w:marTop w:val="0"/>
      <w:marBottom w:val="0"/>
      <w:divBdr>
        <w:top w:val="none" w:sz="0" w:space="0" w:color="auto"/>
        <w:left w:val="none" w:sz="0" w:space="0" w:color="auto"/>
        <w:bottom w:val="none" w:sz="0" w:space="0" w:color="auto"/>
        <w:right w:val="none" w:sz="0" w:space="0" w:color="auto"/>
      </w:divBdr>
    </w:div>
    <w:div w:id="782071828">
      <w:bodyDiv w:val="1"/>
      <w:marLeft w:val="0"/>
      <w:marRight w:val="0"/>
      <w:marTop w:val="0"/>
      <w:marBottom w:val="0"/>
      <w:divBdr>
        <w:top w:val="none" w:sz="0" w:space="0" w:color="auto"/>
        <w:left w:val="none" w:sz="0" w:space="0" w:color="auto"/>
        <w:bottom w:val="none" w:sz="0" w:space="0" w:color="auto"/>
        <w:right w:val="none" w:sz="0" w:space="0" w:color="auto"/>
      </w:divBdr>
    </w:div>
    <w:div w:id="800808874">
      <w:bodyDiv w:val="1"/>
      <w:marLeft w:val="0"/>
      <w:marRight w:val="0"/>
      <w:marTop w:val="0"/>
      <w:marBottom w:val="0"/>
      <w:divBdr>
        <w:top w:val="none" w:sz="0" w:space="0" w:color="auto"/>
        <w:left w:val="none" w:sz="0" w:space="0" w:color="auto"/>
        <w:bottom w:val="none" w:sz="0" w:space="0" w:color="auto"/>
        <w:right w:val="none" w:sz="0" w:space="0" w:color="auto"/>
      </w:divBdr>
    </w:div>
    <w:div w:id="828718472">
      <w:bodyDiv w:val="1"/>
      <w:marLeft w:val="0"/>
      <w:marRight w:val="0"/>
      <w:marTop w:val="0"/>
      <w:marBottom w:val="0"/>
      <w:divBdr>
        <w:top w:val="none" w:sz="0" w:space="0" w:color="auto"/>
        <w:left w:val="none" w:sz="0" w:space="0" w:color="auto"/>
        <w:bottom w:val="none" w:sz="0" w:space="0" w:color="auto"/>
        <w:right w:val="none" w:sz="0" w:space="0" w:color="auto"/>
      </w:divBdr>
    </w:div>
    <w:div w:id="841089461">
      <w:bodyDiv w:val="1"/>
      <w:marLeft w:val="0"/>
      <w:marRight w:val="0"/>
      <w:marTop w:val="0"/>
      <w:marBottom w:val="0"/>
      <w:divBdr>
        <w:top w:val="none" w:sz="0" w:space="0" w:color="auto"/>
        <w:left w:val="none" w:sz="0" w:space="0" w:color="auto"/>
        <w:bottom w:val="none" w:sz="0" w:space="0" w:color="auto"/>
        <w:right w:val="none" w:sz="0" w:space="0" w:color="auto"/>
      </w:divBdr>
    </w:div>
    <w:div w:id="905535495">
      <w:bodyDiv w:val="1"/>
      <w:marLeft w:val="0"/>
      <w:marRight w:val="0"/>
      <w:marTop w:val="0"/>
      <w:marBottom w:val="0"/>
      <w:divBdr>
        <w:top w:val="none" w:sz="0" w:space="0" w:color="auto"/>
        <w:left w:val="none" w:sz="0" w:space="0" w:color="auto"/>
        <w:bottom w:val="none" w:sz="0" w:space="0" w:color="auto"/>
        <w:right w:val="none" w:sz="0" w:space="0" w:color="auto"/>
      </w:divBdr>
    </w:div>
    <w:div w:id="917978230">
      <w:bodyDiv w:val="1"/>
      <w:marLeft w:val="0"/>
      <w:marRight w:val="0"/>
      <w:marTop w:val="0"/>
      <w:marBottom w:val="0"/>
      <w:divBdr>
        <w:top w:val="none" w:sz="0" w:space="0" w:color="auto"/>
        <w:left w:val="none" w:sz="0" w:space="0" w:color="auto"/>
        <w:bottom w:val="none" w:sz="0" w:space="0" w:color="auto"/>
        <w:right w:val="none" w:sz="0" w:space="0" w:color="auto"/>
      </w:divBdr>
    </w:div>
    <w:div w:id="960501153">
      <w:bodyDiv w:val="1"/>
      <w:marLeft w:val="0"/>
      <w:marRight w:val="0"/>
      <w:marTop w:val="0"/>
      <w:marBottom w:val="0"/>
      <w:divBdr>
        <w:top w:val="none" w:sz="0" w:space="0" w:color="auto"/>
        <w:left w:val="none" w:sz="0" w:space="0" w:color="auto"/>
        <w:bottom w:val="none" w:sz="0" w:space="0" w:color="auto"/>
        <w:right w:val="none" w:sz="0" w:space="0" w:color="auto"/>
      </w:divBdr>
    </w:div>
    <w:div w:id="1067457480">
      <w:bodyDiv w:val="1"/>
      <w:marLeft w:val="0"/>
      <w:marRight w:val="0"/>
      <w:marTop w:val="0"/>
      <w:marBottom w:val="0"/>
      <w:divBdr>
        <w:top w:val="none" w:sz="0" w:space="0" w:color="auto"/>
        <w:left w:val="none" w:sz="0" w:space="0" w:color="auto"/>
        <w:bottom w:val="none" w:sz="0" w:space="0" w:color="auto"/>
        <w:right w:val="none" w:sz="0" w:space="0" w:color="auto"/>
      </w:divBdr>
    </w:div>
    <w:div w:id="1070419130">
      <w:bodyDiv w:val="1"/>
      <w:marLeft w:val="0"/>
      <w:marRight w:val="0"/>
      <w:marTop w:val="0"/>
      <w:marBottom w:val="0"/>
      <w:divBdr>
        <w:top w:val="none" w:sz="0" w:space="0" w:color="auto"/>
        <w:left w:val="none" w:sz="0" w:space="0" w:color="auto"/>
        <w:bottom w:val="none" w:sz="0" w:space="0" w:color="auto"/>
        <w:right w:val="none" w:sz="0" w:space="0" w:color="auto"/>
      </w:divBdr>
    </w:div>
    <w:div w:id="1128622332">
      <w:bodyDiv w:val="1"/>
      <w:marLeft w:val="0"/>
      <w:marRight w:val="0"/>
      <w:marTop w:val="0"/>
      <w:marBottom w:val="0"/>
      <w:divBdr>
        <w:top w:val="none" w:sz="0" w:space="0" w:color="auto"/>
        <w:left w:val="none" w:sz="0" w:space="0" w:color="auto"/>
        <w:bottom w:val="none" w:sz="0" w:space="0" w:color="auto"/>
        <w:right w:val="none" w:sz="0" w:space="0" w:color="auto"/>
      </w:divBdr>
    </w:div>
    <w:div w:id="1134101729">
      <w:bodyDiv w:val="1"/>
      <w:marLeft w:val="0"/>
      <w:marRight w:val="0"/>
      <w:marTop w:val="0"/>
      <w:marBottom w:val="0"/>
      <w:divBdr>
        <w:top w:val="none" w:sz="0" w:space="0" w:color="auto"/>
        <w:left w:val="none" w:sz="0" w:space="0" w:color="auto"/>
        <w:bottom w:val="none" w:sz="0" w:space="0" w:color="auto"/>
        <w:right w:val="none" w:sz="0" w:space="0" w:color="auto"/>
      </w:divBdr>
    </w:div>
    <w:div w:id="1218711368">
      <w:bodyDiv w:val="1"/>
      <w:marLeft w:val="0"/>
      <w:marRight w:val="0"/>
      <w:marTop w:val="0"/>
      <w:marBottom w:val="0"/>
      <w:divBdr>
        <w:top w:val="none" w:sz="0" w:space="0" w:color="auto"/>
        <w:left w:val="none" w:sz="0" w:space="0" w:color="auto"/>
        <w:bottom w:val="none" w:sz="0" w:space="0" w:color="auto"/>
        <w:right w:val="none" w:sz="0" w:space="0" w:color="auto"/>
      </w:divBdr>
    </w:div>
    <w:div w:id="1227111902">
      <w:bodyDiv w:val="1"/>
      <w:marLeft w:val="0"/>
      <w:marRight w:val="0"/>
      <w:marTop w:val="0"/>
      <w:marBottom w:val="0"/>
      <w:divBdr>
        <w:top w:val="none" w:sz="0" w:space="0" w:color="auto"/>
        <w:left w:val="none" w:sz="0" w:space="0" w:color="auto"/>
        <w:bottom w:val="none" w:sz="0" w:space="0" w:color="auto"/>
        <w:right w:val="none" w:sz="0" w:space="0" w:color="auto"/>
      </w:divBdr>
    </w:div>
    <w:div w:id="1240170285">
      <w:bodyDiv w:val="1"/>
      <w:marLeft w:val="0"/>
      <w:marRight w:val="0"/>
      <w:marTop w:val="0"/>
      <w:marBottom w:val="0"/>
      <w:divBdr>
        <w:top w:val="none" w:sz="0" w:space="0" w:color="auto"/>
        <w:left w:val="none" w:sz="0" w:space="0" w:color="auto"/>
        <w:bottom w:val="none" w:sz="0" w:space="0" w:color="auto"/>
        <w:right w:val="none" w:sz="0" w:space="0" w:color="auto"/>
      </w:divBdr>
    </w:div>
    <w:div w:id="1312709932">
      <w:bodyDiv w:val="1"/>
      <w:marLeft w:val="0"/>
      <w:marRight w:val="0"/>
      <w:marTop w:val="0"/>
      <w:marBottom w:val="0"/>
      <w:divBdr>
        <w:top w:val="none" w:sz="0" w:space="0" w:color="auto"/>
        <w:left w:val="none" w:sz="0" w:space="0" w:color="auto"/>
        <w:bottom w:val="none" w:sz="0" w:space="0" w:color="auto"/>
        <w:right w:val="none" w:sz="0" w:space="0" w:color="auto"/>
      </w:divBdr>
    </w:div>
    <w:div w:id="1333334615">
      <w:bodyDiv w:val="1"/>
      <w:marLeft w:val="0"/>
      <w:marRight w:val="0"/>
      <w:marTop w:val="0"/>
      <w:marBottom w:val="0"/>
      <w:divBdr>
        <w:top w:val="none" w:sz="0" w:space="0" w:color="auto"/>
        <w:left w:val="none" w:sz="0" w:space="0" w:color="auto"/>
        <w:bottom w:val="none" w:sz="0" w:space="0" w:color="auto"/>
        <w:right w:val="none" w:sz="0" w:space="0" w:color="auto"/>
      </w:divBdr>
    </w:div>
    <w:div w:id="1335960252">
      <w:bodyDiv w:val="1"/>
      <w:marLeft w:val="0"/>
      <w:marRight w:val="0"/>
      <w:marTop w:val="0"/>
      <w:marBottom w:val="0"/>
      <w:divBdr>
        <w:top w:val="none" w:sz="0" w:space="0" w:color="auto"/>
        <w:left w:val="none" w:sz="0" w:space="0" w:color="auto"/>
        <w:bottom w:val="none" w:sz="0" w:space="0" w:color="auto"/>
        <w:right w:val="none" w:sz="0" w:space="0" w:color="auto"/>
      </w:divBdr>
    </w:div>
    <w:div w:id="1423452418">
      <w:bodyDiv w:val="1"/>
      <w:marLeft w:val="0"/>
      <w:marRight w:val="0"/>
      <w:marTop w:val="0"/>
      <w:marBottom w:val="0"/>
      <w:divBdr>
        <w:top w:val="none" w:sz="0" w:space="0" w:color="auto"/>
        <w:left w:val="none" w:sz="0" w:space="0" w:color="auto"/>
        <w:bottom w:val="none" w:sz="0" w:space="0" w:color="auto"/>
        <w:right w:val="none" w:sz="0" w:space="0" w:color="auto"/>
      </w:divBdr>
    </w:div>
    <w:div w:id="1429961392">
      <w:bodyDiv w:val="1"/>
      <w:marLeft w:val="0"/>
      <w:marRight w:val="0"/>
      <w:marTop w:val="0"/>
      <w:marBottom w:val="0"/>
      <w:divBdr>
        <w:top w:val="none" w:sz="0" w:space="0" w:color="auto"/>
        <w:left w:val="none" w:sz="0" w:space="0" w:color="auto"/>
        <w:bottom w:val="none" w:sz="0" w:space="0" w:color="auto"/>
        <w:right w:val="none" w:sz="0" w:space="0" w:color="auto"/>
      </w:divBdr>
    </w:div>
    <w:div w:id="1454057236">
      <w:bodyDiv w:val="1"/>
      <w:marLeft w:val="0"/>
      <w:marRight w:val="0"/>
      <w:marTop w:val="0"/>
      <w:marBottom w:val="0"/>
      <w:divBdr>
        <w:top w:val="none" w:sz="0" w:space="0" w:color="auto"/>
        <w:left w:val="none" w:sz="0" w:space="0" w:color="auto"/>
        <w:bottom w:val="none" w:sz="0" w:space="0" w:color="auto"/>
        <w:right w:val="none" w:sz="0" w:space="0" w:color="auto"/>
      </w:divBdr>
    </w:div>
    <w:div w:id="1496069669">
      <w:bodyDiv w:val="1"/>
      <w:marLeft w:val="0"/>
      <w:marRight w:val="0"/>
      <w:marTop w:val="0"/>
      <w:marBottom w:val="0"/>
      <w:divBdr>
        <w:top w:val="none" w:sz="0" w:space="0" w:color="auto"/>
        <w:left w:val="none" w:sz="0" w:space="0" w:color="auto"/>
        <w:bottom w:val="none" w:sz="0" w:space="0" w:color="auto"/>
        <w:right w:val="none" w:sz="0" w:space="0" w:color="auto"/>
      </w:divBdr>
    </w:div>
    <w:div w:id="1506165631">
      <w:bodyDiv w:val="1"/>
      <w:marLeft w:val="0"/>
      <w:marRight w:val="0"/>
      <w:marTop w:val="0"/>
      <w:marBottom w:val="0"/>
      <w:divBdr>
        <w:top w:val="none" w:sz="0" w:space="0" w:color="auto"/>
        <w:left w:val="none" w:sz="0" w:space="0" w:color="auto"/>
        <w:bottom w:val="none" w:sz="0" w:space="0" w:color="auto"/>
        <w:right w:val="none" w:sz="0" w:space="0" w:color="auto"/>
      </w:divBdr>
    </w:div>
    <w:div w:id="1530100877">
      <w:bodyDiv w:val="1"/>
      <w:marLeft w:val="0"/>
      <w:marRight w:val="0"/>
      <w:marTop w:val="0"/>
      <w:marBottom w:val="0"/>
      <w:divBdr>
        <w:top w:val="none" w:sz="0" w:space="0" w:color="auto"/>
        <w:left w:val="none" w:sz="0" w:space="0" w:color="auto"/>
        <w:bottom w:val="none" w:sz="0" w:space="0" w:color="auto"/>
        <w:right w:val="none" w:sz="0" w:space="0" w:color="auto"/>
      </w:divBdr>
    </w:div>
    <w:div w:id="1539246297">
      <w:bodyDiv w:val="1"/>
      <w:marLeft w:val="0"/>
      <w:marRight w:val="0"/>
      <w:marTop w:val="0"/>
      <w:marBottom w:val="0"/>
      <w:divBdr>
        <w:top w:val="none" w:sz="0" w:space="0" w:color="auto"/>
        <w:left w:val="none" w:sz="0" w:space="0" w:color="auto"/>
        <w:bottom w:val="none" w:sz="0" w:space="0" w:color="auto"/>
        <w:right w:val="none" w:sz="0" w:space="0" w:color="auto"/>
      </w:divBdr>
    </w:div>
    <w:div w:id="1550457697">
      <w:bodyDiv w:val="1"/>
      <w:marLeft w:val="0"/>
      <w:marRight w:val="0"/>
      <w:marTop w:val="0"/>
      <w:marBottom w:val="0"/>
      <w:divBdr>
        <w:top w:val="none" w:sz="0" w:space="0" w:color="auto"/>
        <w:left w:val="none" w:sz="0" w:space="0" w:color="auto"/>
        <w:bottom w:val="none" w:sz="0" w:space="0" w:color="auto"/>
        <w:right w:val="none" w:sz="0" w:space="0" w:color="auto"/>
      </w:divBdr>
    </w:div>
    <w:div w:id="1661811009">
      <w:bodyDiv w:val="1"/>
      <w:marLeft w:val="0"/>
      <w:marRight w:val="0"/>
      <w:marTop w:val="0"/>
      <w:marBottom w:val="0"/>
      <w:divBdr>
        <w:top w:val="none" w:sz="0" w:space="0" w:color="auto"/>
        <w:left w:val="none" w:sz="0" w:space="0" w:color="auto"/>
        <w:bottom w:val="none" w:sz="0" w:space="0" w:color="auto"/>
        <w:right w:val="none" w:sz="0" w:space="0" w:color="auto"/>
      </w:divBdr>
    </w:div>
    <w:div w:id="1696496710">
      <w:bodyDiv w:val="1"/>
      <w:marLeft w:val="0"/>
      <w:marRight w:val="0"/>
      <w:marTop w:val="0"/>
      <w:marBottom w:val="0"/>
      <w:divBdr>
        <w:top w:val="none" w:sz="0" w:space="0" w:color="auto"/>
        <w:left w:val="none" w:sz="0" w:space="0" w:color="auto"/>
        <w:bottom w:val="none" w:sz="0" w:space="0" w:color="auto"/>
        <w:right w:val="none" w:sz="0" w:space="0" w:color="auto"/>
      </w:divBdr>
    </w:div>
    <w:div w:id="1746534959">
      <w:bodyDiv w:val="1"/>
      <w:marLeft w:val="0"/>
      <w:marRight w:val="0"/>
      <w:marTop w:val="0"/>
      <w:marBottom w:val="0"/>
      <w:divBdr>
        <w:top w:val="none" w:sz="0" w:space="0" w:color="auto"/>
        <w:left w:val="none" w:sz="0" w:space="0" w:color="auto"/>
        <w:bottom w:val="none" w:sz="0" w:space="0" w:color="auto"/>
        <w:right w:val="none" w:sz="0" w:space="0" w:color="auto"/>
      </w:divBdr>
    </w:div>
    <w:div w:id="1762867403">
      <w:bodyDiv w:val="1"/>
      <w:marLeft w:val="0"/>
      <w:marRight w:val="0"/>
      <w:marTop w:val="0"/>
      <w:marBottom w:val="0"/>
      <w:divBdr>
        <w:top w:val="none" w:sz="0" w:space="0" w:color="auto"/>
        <w:left w:val="none" w:sz="0" w:space="0" w:color="auto"/>
        <w:bottom w:val="none" w:sz="0" w:space="0" w:color="auto"/>
        <w:right w:val="none" w:sz="0" w:space="0" w:color="auto"/>
      </w:divBdr>
    </w:div>
    <w:div w:id="1778713673">
      <w:bodyDiv w:val="1"/>
      <w:marLeft w:val="0"/>
      <w:marRight w:val="0"/>
      <w:marTop w:val="0"/>
      <w:marBottom w:val="0"/>
      <w:divBdr>
        <w:top w:val="none" w:sz="0" w:space="0" w:color="auto"/>
        <w:left w:val="none" w:sz="0" w:space="0" w:color="auto"/>
        <w:bottom w:val="none" w:sz="0" w:space="0" w:color="auto"/>
        <w:right w:val="none" w:sz="0" w:space="0" w:color="auto"/>
      </w:divBdr>
    </w:div>
    <w:div w:id="1789810767">
      <w:bodyDiv w:val="1"/>
      <w:marLeft w:val="0"/>
      <w:marRight w:val="0"/>
      <w:marTop w:val="0"/>
      <w:marBottom w:val="0"/>
      <w:divBdr>
        <w:top w:val="none" w:sz="0" w:space="0" w:color="auto"/>
        <w:left w:val="none" w:sz="0" w:space="0" w:color="auto"/>
        <w:bottom w:val="none" w:sz="0" w:space="0" w:color="auto"/>
        <w:right w:val="none" w:sz="0" w:space="0" w:color="auto"/>
      </w:divBdr>
    </w:div>
    <w:div w:id="1796867877">
      <w:bodyDiv w:val="1"/>
      <w:marLeft w:val="0"/>
      <w:marRight w:val="0"/>
      <w:marTop w:val="0"/>
      <w:marBottom w:val="0"/>
      <w:divBdr>
        <w:top w:val="none" w:sz="0" w:space="0" w:color="auto"/>
        <w:left w:val="none" w:sz="0" w:space="0" w:color="auto"/>
        <w:bottom w:val="none" w:sz="0" w:space="0" w:color="auto"/>
        <w:right w:val="none" w:sz="0" w:space="0" w:color="auto"/>
      </w:divBdr>
    </w:div>
    <w:div w:id="1798597116">
      <w:bodyDiv w:val="1"/>
      <w:marLeft w:val="0"/>
      <w:marRight w:val="0"/>
      <w:marTop w:val="0"/>
      <w:marBottom w:val="0"/>
      <w:divBdr>
        <w:top w:val="none" w:sz="0" w:space="0" w:color="auto"/>
        <w:left w:val="none" w:sz="0" w:space="0" w:color="auto"/>
        <w:bottom w:val="none" w:sz="0" w:space="0" w:color="auto"/>
        <w:right w:val="none" w:sz="0" w:space="0" w:color="auto"/>
      </w:divBdr>
    </w:div>
    <w:div w:id="1816027939">
      <w:bodyDiv w:val="1"/>
      <w:marLeft w:val="0"/>
      <w:marRight w:val="0"/>
      <w:marTop w:val="0"/>
      <w:marBottom w:val="0"/>
      <w:divBdr>
        <w:top w:val="none" w:sz="0" w:space="0" w:color="auto"/>
        <w:left w:val="none" w:sz="0" w:space="0" w:color="auto"/>
        <w:bottom w:val="none" w:sz="0" w:space="0" w:color="auto"/>
        <w:right w:val="none" w:sz="0" w:space="0" w:color="auto"/>
      </w:divBdr>
    </w:div>
    <w:div w:id="1843467266">
      <w:bodyDiv w:val="1"/>
      <w:marLeft w:val="0"/>
      <w:marRight w:val="0"/>
      <w:marTop w:val="0"/>
      <w:marBottom w:val="0"/>
      <w:divBdr>
        <w:top w:val="none" w:sz="0" w:space="0" w:color="auto"/>
        <w:left w:val="none" w:sz="0" w:space="0" w:color="auto"/>
        <w:bottom w:val="none" w:sz="0" w:space="0" w:color="auto"/>
        <w:right w:val="none" w:sz="0" w:space="0" w:color="auto"/>
      </w:divBdr>
    </w:div>
    <w:div w:id="1904489724">
      <w:bodyDiv w:val="1"/>
      <w:marLeft w:val="0"/>
      <w:marRight w:val="0"/>
      <w:marTop w:val="0"/>
      <w:marBottom w:val="0"/>
      <w:divBdr>
        <w:top w:val="none" w:sz="0" w:space="0" w:color="auto"/>
        <w:left w:val="none" w:sz="0" w:space="0" w:color="auto"/>
        <w:bottom w:val="none" w:sz="0" w:space="0" w:color="auto"/>
        <w:right w:val="none" w:sz="0" w:space="0" w:color="auto"/>
      </w:divBdr>
    </w:div>
    <w:div w:id="1918056852">
      <w:bodyDiv w:val="1"/>
      <w:marLeft w:val="0"/>
      <w:marRight w:val="0"/>
      <w:marTop w:val="0"/>
      <w:marBottom w:val="0"/>
      <w:divBdr>
        <w:top w:val="none" w:sz="0" w:space="0" w:color="auto"/>
        <w:left w:val="none" w:sz="0" w:space="0" w:color="auto"/>
        <w:bottom w:val="none" w:sz="0" w:space="0" w:color="auto"/>
        <w:right w:val="none" w:sz="0" w:space="0" w:color="auto"/>
      </w:divBdr>
    </w:div>
    <w:div w:id="1932540830">
      <w:bodyDiv w:val="1"/>
      <w:marLeft w:val="0"/>
      <w:marRight w:val="0"/>
      <w:marTop w:val="0"/>
      <w:marBottom w:val="0"/>
      <w:divBdr>
        <w:top w:val="none" w:sz="0" w:space="0" w:color="auto"/>
        <w:left w:val="none" w:sz="0" w:space="0" w:color="auto"/>
        <w:bottom w:val="none" w:sz="0" w:space="0" w:color="auto"/>
        <w:right w:val="none" w:sz="0" w:space="0" w:color="auto"/>
      </w:divBdr>
    </w:div>
    <w:div w:id="1935286070">
      <w:bodyDiv w:val="1"/>
      <w:marLeft w:val="0"/>
      <w:marRight w:val="0"/>
      <w:marTop w:val="0"/>
      <w:marBottom w:val="0"/>
      <w:divBdr>
        <w:top w:val="none" w:sz="0" w:space="0" w:color="auto"/>
        <w:left w:val="none" w:sz="0" w:space="0" w:color="auto"/>
        <w:bottom w:val="none" w:sz="0" w:space="0" w:color="auto"/>
        <w:right w:val="none" w:sz="0" w:space="0" w:color="auto"/>
      </w:divBdr>
    </w:div>
    <w:div w:id="1949501888">
      <w:bodyDiv w:val="1"/>
      <w:marLeft w:val="0"/>
      <w:marRight w:val="0"/>
      <w:marTop w:val="0"/>
      <w:marBottom w:val="0"/>
      <w:divBdr>
        <w:top w:val="none" w:sz="0" w:space="0" w:color="auto"/>
        <w:left w:val="none" w:sz="0" w:space="0" w:color="auto"/>
        <w:bottom w:val="none" w:sz="0" w:space="0" w:color="auto"/>
        <w:right w:val="none" w:sz="0" w:space="0" w:color="auto"/>
      </w:divBdr>
    </w:div>
    <w:div w:id="2023625010">
      <w:bodyDiv w:val="1"/>
      <w:marLeft w:val="0"/>
      <w:marRight w:val="0"/>
      <w:marTop w:val="0"/>
      <w:marBottom w:val="0"/>
      <w:divBdr>
        <w:top w:val="none" w:sz="0" w:space="0" w:color="auto"/>
        <w:left w:val="none" w:sz="0" w:space="0" w:color="auto"/>
        <w:bottom w:val="none" w:sz="0" w:space="0" w:color="auto"/>
        <w:right w:val="none" w:sz="0" w:space="0" w:color="auto"/>
      </w:divBdr>
    </w:div>
    <w:div w:id="2091078718">
      <w:bodyDiv w:val="1"/>
      <w:marLeft w:val="0"/>
      <w:marRight w:val="0"/>
      <w:marTop w:val="0"/>
      <w:marBottom w:val="0"/>
      <w:divBdr>
        <w:top w:val="none" w:sz="0" w:space="0" w:color="auto"/>
        <w:left w:val="none" w:sz="0" w:space="0" w:color="auto"/>
        <w:bottom w:val="none" w:sz="0" w:space="0" w:color="auto"/>
        <w:right w:val="none" w:sz="0" w:space="0" w:color="auto"/>
      </w:divBdr>
    </w:div>
    <w:div w:id="209855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uhlik@praha.e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aha.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fcr.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uth.kubickova@praha.eu" TargetMode="External"/><Relationship Id="rId4" Type="http://schemas.openxmlformats.org/officeDocument/2006/relationships/settings" Target="settings.xml"/><Relationship Id="rId9" Type="http://schemas.openxmlformats.org/officeDocument/2006/relationships/hyperlink" Target="mailto:nikola.kratka@praha.e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333E9-BA27-42B4-90F0-E0746C43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4152</Words>
  <Characters>24500</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28595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Prokopová Hana (MHMP, ZSP)</dc:creator>
  <cp:lastModifiedBy>Nykodýmová Zuzana (MHMP, ZSP)</cp:lastModifiedBy>
  <cp:revision>4</cp:revision>
  <cp:lastPrinted>2019-03-05T15:01:00Z</cp:lastPrinted>
  <dcterms:created xsi:type="dcterms:W3CDTF">2019-04-02T12:19:00Z</dcterms:created>
  <dcterms:modified xsi:type="dcterms:W3CDTF">2019-04-04T05:55:00Z</dcterms:modified>
</cp:coreProperties>
</file>